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431E3C" w:rsidRDefault="00431E3C" w:rsidP="001E3E7B">
      <w:pPr>
        <w:jc w:val="center"/>
        <w:rPr>
          <w:rFonts w:ascii="Times New Roman" w:hAnsi="Times New Roman" w:cs="Times New Roman"/>
          <w:b/>
          <w:sz w:val="24"/>
          <w:szCs w:val="24"/>
        </w:rPr>
      </w:pPr>
      <w:bookmarkStart w:id="0" w:name="_GoBack"/>
      <w:bookmarkEnd w:id="0"/>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044AEA" w:rsidRDefault="00044AEA" w:rsidP="001E3E7B">
      <w:pPr>
        <w:jc w:val="center"/>
        <w:rPr>
          <w:rFonts w:ascii="Times New Roman" w:hAnsi="Times New Roman" w:cs="Times New Roman"/>
          <w:b/>
          <w:sz w:val="24"/>
          <w:szCs w:val="24"/>
        </w:rPr>
      </w:pPr>
    </w:p>
    <w:p w:rsidR="00044AEA" w:rsidRDefault="00044AEA" w:rsidP="001E3E7B">
      <w:pPr>
        <w:jc w:val="center"/>
        <w:rPr>
          <w:rFonts w:ascii="Times New Roman" w:hAnsi="Times New Roman" w:cs="Times New Roman"/>
          <w:b/>
          <w:sz w:val="24"/>
          <w:szCs w:val="24"/>
        </w:rPr>
      </w:pPr>
    </w:p>
    <w:p w:rsidR="00413ED2" w:rsidRDefault="00413ED2" w:rsidP="00413ED2">
      <w:pPr>
        <w:tabs>
          <w:tab w:val="left" w:pos="6115"/>
        </w:tabs>
        <w:rPr>
          <w:rFonts w:ascii="Times New Roman" w:hAnsi="Times New Roman" w:cs="Times New Roman"/>
          <w:b/>
          <w:sz w:val="24"/>
          <w:szCs w:val="24"/>
        </w:rPr>
      </w:pPr>
      <w:r>
        <w:rPr>
          <w:rFonts w:ascii="Times New Roman" w:hAnsi="Times New Roman" w:cs="Times New Roman"/>
          <w:b/>
          <w:sz w:val="24"/>
          <w:szCs w:val="24"/>
        </w:rPr>
        <w:tab/>
      </w:r>
    </w:p>
    <w:p w:rsidR="009745FD" w:rsidRPr="009745FD" w:rsidRDefault="009745FD" w:rsidP="001E3E7B">
      <w:pPr>
        <w:jc w:val="center"/>
        <w:rPr>
          <w:rFonts w:ascii="Times New Roman" w:hAnsi="Times New Roman" w:cs="Times New Roman"/>
          <w:b/>
          <w:i/>
          <w:sz w:val="40"/>
          <w:szCs w:val="40"/>
        </w:rPr>
      </w:pPr>
      <w:r w:rsidRPr="009745FD">
        <w:rPr>
          <w:rFonts w:ascii="Times New Roman" w:hAnsi="Times New Roman" w:cs="Times New Roman"/>
          <w:b/>
          <w:sz w:val="40"/>
          <w:szCs w:val="40"/>
        </w:rPr>
        <w:t xml:space="preserve">Review of the Australian Electoral Commission’s Disclosure Compliance Function under Part XX of the </w:t>
      </w:r>
      <w:r w:rsidRPr="009745FD">
        <w:rPr>
          <w:rFonts w:ascii="Times New Roman" w:hAnsi="Times New Roman" w:cs="Times New Roman"/>
          <w:b/>
          <w:i/>
          <w:sz w:val="40"/>
          <w:szCs w:val="40"/>
        </w:rPr>
        <w:t>Commonwealth Electoral Act 1918</w:t>
      </w:r>
    </w:p>
    <w:p w:rsidR="009745FD" w:rsidRDefault="009745FD" w:rsidP="001E3E7B">
      <w:pPr>
        <w:jc w:val="center"/>
        <w:rPr>
          <w:rFonts w:ascii="Times New Roman" w:hAnsi="Times New Roman" w:cs="Times New Roman"/>
          <w:b/>
          <w:sz w:val="24"/>
          <w:szCs w:val="24"/>
        </w:rPr>
      </w:pPr>
    </w:p>
    <w:p w:rsidR="000D2589" w:rsidRDefault="000D2589" w:rsidP="000D2589">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9745FD" w:rsidRDefault="009745FD" w:rsidP="001E3E7B">
      <w:pPr>
        <w:jc w:val="center"/>
        <w:rPr>
          <w:rFonts w:ascii="Times New Roman" w:hAnsi="Times New Roman" w:cs="Times New Roman"/>
          <w:b/>
          <w:sz w:val="24"/>
          <w:szCs w:val="24"/>
        </w:rPr>
      </w:pPr>
    </w:p>
    <w:p w:rsidR="00413ED2" w:rsidRDefault="00413ED2" w:rsidP="00413ED2">
      <w:pPr>
        <w:spacing w:after="0"/>
        <w:rPr>
          <w:rFonts w:ascii="Times New Roman" w:hAnsi="Times New Roman" w:cs="Times New Roman"/>
          <w:b/>
          <w:sz w:val="24"/>
          <w:szCs w:val="24"/>
        </w:rPr>
      </w:pPr>
    </w:p>
    <w:p w:rsidR="009745FD" w:rsidRDefault="009745FD" w:rsidP="00413ED2">
      <w:pPr>
        <w:spacing w:after="0"/>
        <w:rPr>
          <w:rFonts w:ascii="Times New Roman" w:hAnsi="Times New Roman" w:cs="Times New Roman"/>
          <w:b/>
          <w:sz w:val="24"/>
          <w:szCs w:val="24"/>
        </w:rPr>
      </w:pPr>
      <w:r>
        <w:rPr>
          <w:rFonts w:ascii="Times New Roman" w:hAnsi="Times New Roman" w:cs="Times New Roman"/>
          <w:b/>
          <w:sz w:val="24"/>
          <w:szCs w:val="24"/>
        </w:rPr>
        <w:t>Mr Ron McLeod AM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E41C4">
        <w:rPr>
          <w:rFonts w:ascii="Times New Roman" w:hAnsi="Times New Roman" w:cs="Times New Roman"/>
          <w:b/>
          <w:sz w:val="24"/>
          <w:szCs w:val="24"/>
        </w:rPr>
        <w:t>Pricew</w:t>
      </w:r>
      <w:r>
        <w:rPr>
          <w:rFonts w:ascii="Times New Roman" w:hAnsi="Times New Roman" w:cs="Times New Roman"/>
          <w:b/>
          <w:sz w:val="24"/>
          <w:szCs w:val="24"/>
        </w:rPr>
        <w:t>aterhouseCoopers</w:t>
      </w:r>
    </w:p>
    <w:p w:rsidR="009745FD" w:rsidRDefault="00413ED2" w:rsidP="00EC70CB">
      <w:pPr>
        <w:tabs>
          <w:tab w:val="left" w:pos="5993"/>
        </w:tabs>
        <w:spacing w:after="0"/>
        <w:rPr>
          <w:rFonts w:ascii="Times New Roman" w:hAnsi="Times New Roman" w:cs="Times New Roman"/>
          <w:b/>
          <w:sz w:val="24"/>
          <w:szCs w:val="24"/>
        </w:rPr>
      </w:pPr>
      <w:r>
        <w:rPr>
          <w:rFonts w:ascii="Times New Roman" w:hAnsi="Times New Roman" w:cs="Times New Roman"/>
          <w:b/>
          <w:sz w:val="24"/>
          <w:szCs w:val="24"/>
        </w:rPr>
        <w:t>Principal Reviewer                                                               Management Consultants</w:t>
      </w:r>
    </w:p>
    <w:sdt>
      <w:sdtPr>
        <w:rPr>
          <w:rFonts w:ascii="Times New Roman" w:eastAsiaTheme="minorHAnsi" w:hAnsi="Times New Roman" w:cs="Times New Roman"/>
          <w:b w:val="0"/>
          <w:bCs w:val="0"/>
          <w:color w:val="auto"/>
          <w:sz w:val="22"/>
          <w:szCs w:val="22"/>
          <w:lang w:val="en-AU" w:eastAsia="en-US"/>
        </w:rPr>
        <w:id w:val="-1029557768"/>
        <w:docPartObj>
          <w:docPartGallery w:val="Table of Contents"/>
          <w:docPartUnique/>
        </w:docPartObj>
      </w:sdtPr>
      <w:sdtEndPr/>
      <w:sdtContent>
        <w:p w:rsidR="00886F73" w:rsidRPr="00B9347B" w:rsidRDefault="00886F73">
          <w:pPr>
            <w:pStyle w:val="TOCHeading"/>
            <w:rPr>
              <w:rFonts w:ascii="Times New Roman" w:hAnsi="Times New Roman" w:cs="Times New Roman"/>
            </w:rPr>
          </w:pPr>
          <w:r w:rsidRPr="00B9347B">
            <w:rPr>
              <w:rFonts w:ascii="Times New Roman" w:hAnsi="Times New Roman" w:cs="Times New Roman"/>
            </w:rPr>
            <w:t>Table of Contents</w:t>
          </w:r>
        </w:p>
        <w:p w:rsidR="00886F73" w:rsidRPr="00B9347B" w:rsidRDefault="00886F73">
          <w:pPr>
            <w:pStyle w:val="TOC1"/>
            <w:rPr>
              <w:rFonts w:ascii="Times New Roman" w:hAnsi="Times New Roman" w:cs="Times New Roman"/>
            </w:rPr>
          </w:pPr>
          <w:r w:rsidRPr="00B9347B">
            <w:rPr>
              <w:rFonts w:ascii="Times New Roman" w:hAnsi="Times New Roman" w:cs="Times New Roman"/>
              <w:b/>
              <w:bCs/>
            </w:rPr>
            <w:t>Forward</w:t>
          </w:r>
          <w:r w:rsidRPr="00B9347B">
            <w:rPr>
              <w:rFonts w:ascii="Times New Roman" w:hAnsi="Times New Roman" w:cs="Times New Roman"/>
            </w:rPr>
            <w:ptab w:relativeTo="margin" w:alignment="right" w:leader="dot"/>
          </w:r>
          <w:r w:rsidR="00A86F5A">
            <w:rPr>
              <w:rFonts w:ascii="Times New Roman" w:hAnsi="Times New Roman" w:cs="Times New Roman"/>
              <w:bCs/>
            </w:rPr>
            <w:t>5</w:t>
          </w:r>
        </w:p>
        <w:p w:rsidR="00B9347B" w:rsidRPr="00B9347B" w:rsidRDefault="00886F73" w:rsidP="00B9347B">
          <w:pPr>
            <w:pStyle w:val="TOC1"/>
            <w:rPr>
              <w:rFonts w:ascii="Times New Roman" w:hAnsi="Times New Roman" w:cs="Times New Roman"/>
            </w:rPr>
          </w:pPr>
          <w:r w:rsidRPr="00B9347B">
            <w:rPr>
              <w:rFonts w:ascii="Times New Roman" w:hAnsi="Times New Roman" w:cs="Times New Roman"/>
              <w:b/>
              <w:bCs/>
            </w:rPr>
            <w:t>Executive Summary</w:t>
          </w:r>
          <w:r w:rsidRPr="00B9347B">
            <w:rPr>
              <w:rFonts w:ascii="Times New Roman" w:hAnsi="Times New Roman" w:cs="Times New Roman"/>
            </w:rPr>
            <w:ptab w:relativeTo="margin" w:alignment="right" w:leader="dot"/>
          </w:r>
          <w:r w:rsidR="00A86F5A">
            <w:rPr>
              <w:rFonts w:ascii="Times New Roman" w:hAnsi="Times New Roman" w:cs="Times New Roman"/>
              <w:bCs/>
            </w:rPr>
            <w:t>8</w:t>
          </w:r>
        </w:p>
      </w:sdtContent>
    </w:sdt>
    <w:p w:rsidR="00886F73" w:rsidRPr="00B9347B" w:rsidRDefault="00886F73" w:rsidP="00B9347B">
      <w:pPr>
        <w:pStyle w:val="TOC3"/>
        <w:ind w:left="0"/>
        <w:rPr>
          <w:rFonts w:ascii="Times New Roman" w:hAnsi="Times New Roman" w:cs="Times New Roman"/>
        </w:rPr>
      </w:pPr>
      <w:r w:rsidRPr="00B9347B">
        <w:rPr>
          <w:rFonts w:ascii="Times New Roman" w:hAnsi="Times New Roman" w:cs="Times New Roman"/>
          <w:b/>
          <w:bCs/>
        </w:rPr>
        <w:t>Part 1: Directions for Change</w:t>
      </w:r>
      <w:r w:rsidRPr="00B9347B">
        <w:rPr>
          <w:rFonts w:ascii="Times New Roman" w:hAnsi="Times New Roman" w:cs="Times New Roman"/>
        </w:rPr>
        <w:ptab w:relativeTo="margin" w:alignment="right" w:leader="dot"/>
      </w:r>
      <w:r w:rsidR="00623128">
        <w:rPr>
          <w:rFonts w:ascii="Times New Roman" w:hAnsi="Times New Roman" w:cs="Times New Roman"/>
          <w:bCs/>
        </w:rPr>
        <w:t>11</w:t>
      </w:r>
    </w:p>
    <w:p w:rsidR="00886F73" w:rsidRPr="00B9347B" w:rsidRDefault="00886F73" w:rsidP="00886F73">
      <w:pPr>
        <w:pStyle w:val="TOC2"/>
        <w:ind w:left="216"/>
        <w:rPr>
          <w:rFonts w:ascii="Times New Roman" w:hAnsi="Times New Roman" w:cs="Times New Roman"/>
        </w:rPr>
      </w:pPr>
      <w:r w:rsidRPr="00B9347B">
        <w:rPr>
          <w:rFonts w:ascii="Times New Roman" w:hAnsi="Times New Roman" w:cs="Times New Roman"/>
        </w:rPr>
        <w:t>Introduction</w:t>
      </w:r>
      <w:r w:rsidRPr="00B9347B">
        <w:rPr>
          <w:rFonts w:ascii="Times New Roman" w:hAnsi="Times New Roman" w:cs="Times New Roman"/>
        </w:rPr>
        <w:ptab w:relativeTo="margin" w:alignment="right" w:leader="dot"/>
      </w:r>
      <w:r w:rsidR="00623128">
        <w:rPr>
          <w:rFonts w:ascii="Times New Roman" w:hAnsi="Times New Roman" w:cs="Times New Roman"/>
        </w:rPr>
        <w:t>11</w:t>
      </w:r>
    </w:p>
    <w:p w:rsidR="009745FD" w:rsidRPr="00B9347B" w:rsidRDefault="00886F73" w:rsidP="00886F73">
      <w:pPr>
        <w:ind w:firstLine="216"/>
        <w:rPr>
          <w:rFonts w:ascii="Times New Roman" w:hAnsi="Times New Roman" w:cs="Times New Roman"/>
        </w:rPr>
      </w:pPr>
      <w:r w:rsidRPr="00B9347B">
        <w:rPr>
          <w:rFonts w:ascii="Times New Roman" w:hAnsi="Times New Roman" w:cs="Times New Roman"/>
        </w:rPr>
        <w:t xml:space="preserve">     Disclosure of the sources of political funding</w:t>
      </w:r>
      <w:r w:rsidRPr="00B9347B">
        <w:rPr>
          <w:rFonts w:ascii="Times New Roman" w:hAnsi="Times New Roman" w:cs="Times New Roman"/>
        </w:rPr>
        <w:ptab w:relativeTo="margin" w:alignment="right" w:leader="dot"/>
      </w:r>
      <w:r w:rsidR="00623128">
        <w:rPr>
          <w:rFonts w:ascii="Times New Roman" w:hAnsi="Times New Roman" w:cs="Times New Roman"/>
        </w:rPr>
        <w:t>11</w:t>
      </w:r>
    </w:p>
    <w:p w:rsidR="00886F73" w:rsidRPr="00B9347B" w:rsidRDefault="00886F73" w:rsidP="00886F73">
      <w:pPr>
        <w:pStyle w:val="TOC3"/>
        <w:ind w:left="446"/>
        <w:rPr>
          <w:rFonts w:ascii="Times New Roman" w:hAnsi="Times New Roman" w:cs="Times New Roman"/>
        </w:rPr>
      </w:pPr>
      <w:r w:rsidRPr="00B9347B">
        <w:rPr>
          <w:rFonts w:ascii="Times New Roman" w:hAnsi="Times New Roman" w:cs="Times New Roman"/>
        </w:rPr>
        <w:t xml:space="preserve">    History of compliance powers</w:t>
      </w:r>
      <w:r w:rsidRPr="00B9347B">
        <w:rPr>
          <w:rFonts w:ascii="Times New Roman" w:hAnsi="Times New Roman" w:cs="Times New Roman"/>
        </w:rPr>
        <w:ptab w:relativeTo="margin" w:alignment="right" w:leader="dot"/>
      </w:r>
      <w:r w:rsidR="00623128">
        <w:rPr>
          <w:rFonts w:ascii="Times New Roman" w:hAnsi="Times New Roman" w:cs="Times New Roman"/>
        </w:rPr>
        <w:t>12</w:t>
      </w:r>
    </w:p>
    <w:p w:rsidR="00886F73" w:rsidRPr="00B9347B" w:rsidRDefault="00886F73" w:rsidP="00886F73">
      <w:pPr>
        <w:pStyle w:val="TOC3"/>
        <w:ind w:left="446"/>
        <w:rPr>
          <w:rFonts w:ascii="Times New Roman" w:hAnsi="Times New Roman" w:cs="Times New Roman"/>
        </w:rPr>
      </w:pPr>
      <w:r w:rsidRPr="00B9347B">
        <w:rPr>
          <w:rFonts w:ascii="Times New Roman" w:hAnsi="Times New Roman" w:cs="Times New Roman"/>
        </w:rPr>
        <w:t xml:space="preserve">    Penalties – effectiveness as deterrents</w:t>
      </w:r>
      <w:r w:rsidRPr="00B9347B">
        <w:rPr>
          <w:rFonts w:ascii="Times New Roman" w:hAnsi="Times New Roman" w:cs="Times New Roman"/>
        </w:rPr>
        <w:ptab w:relativeTo="margin" w:alignment="right" w:leader="dot"/>
      </w:r>
      <w:r w:rsidR="00623128">
        <w:rPr>
          <w:rFonts w:ascii="Times New Roman" w:hAnsi="Times New Roman" w:cs="Times New Roman"/>
        </w:rPr>
        <w:t>14</w:t>
      </w:r>
    </w:p>
    <w:p w:rsidR="00886F73" w:rsidRPr="00B9347B" w:rsidRDefault="00886F73" w:rsidP="00886F73">
      <w:pPr>
        <w:pStyle w:val="TOC3"/>
        <w:ind w:left="446"/>
        <w:rPr>
          <w:rFonts w:ascii="Times New Roman" w:hAnsi="Times New Roman" w:cs="Times New Roman"/>
        </w:rPr>
      </w:pPr>
      <w:r w:rsidRPr="00B9347B">
        <w:rPr>
          <w:rFonts w:ascii="Times New Roman" w:hAnsi="Times New Roman" w:cs="Times New Roman"/>
        </w:rPr>
        <w:t xml:space="preserve">    Compliance rationale and current approach</w:t>
      </w:r>
      <w:r w:rsidRPr="00B9347B">
        <w:rPr>
          <w:rFonts w:ascii="Times New Roman" w:hAnsi="Times New Roman" w:cs="Times New Roman"/>
        </w:rPr>
        <w:ptab w:relativeTo="margin" w:alignment="right" w:leader="dot"/>
      </w:r>
      <w:r w:rsidR="00623128">
        <w:rPr>
          <w:rFonts w:ascii="Times New Roman" w:hAnsi="Times New Roman" w:cs="Times New Roman"/>
        </w:rPr>
        <w:t>16</w:t>
      </w:r>
    </w:p>
    <w:p w:rsidR="00886F73" w:rsidRPr="00B9347B" w:rsidRDefault="00886F73" w:rsidP="00886F73">
      <w:pPr>
        <w:pStyle w:val="TOC3"/>
        <w:ind w:left="446"/>
        <w:rPr>
          <w:rFonts w:ascii="Times New Roman" w:hAnsi="Times New Roman" w:cs="Times New Roman"/>
        </w:rPr>
      </w:pPr>
      <w:r w:rsidRPr="00B9347B">
        <w:rPr>
          <w:rFonts w:ascii="Times New Roman" w:hAnsi="Times New Roman" w:cs="Times New Roman"/>
        </w:rPr>
        <w:t xml:space="preserve">    The public view of compliance activities</w:t>
      </w:r>
      <w:r w:rsidRPr="00B9347B">
        <w:rPr>
          <w:rFonts w:ascii="Times New Roman" w:hAnsi="Times New Roman" w:cs="Times New Roman"/>
        </w:rPr>
        <w:ptab w:relativeTo="margin" w:alignment="right" w:leader="dot"/>
      </w:r>
      <w:r w:rsidR="00623128">
        <w:rPr>
          <w:rFonts w:ascii="Times New Roman" w:hAnsi="Times New Roman" w:cs="Times New Roman"/>
        </w:rPr>
        <w:t>19</w:t>
      </w:r>
    </w:p>
    <w:p w:rsidR="00886F73" w:rsidRPr="00B9347B" w:rsidRDefault="00886F73" w:rsidP="00886F73">
      <w:pPr>
        <w:pStyle w:val="TOC3"/>
        <w:ind w:left="446"/>
        <w:rPr>
          <w:rFonts w:ascii="Times New Roman" w:hAnsi="Times New Roman" w:cs="Times New Roman"/>
        </w:rPr>
      </w:pPr>
      <w:r w:rsidRPr="00B9347B">
        <w:rPr>
          <w:rFonts w:ascii="Times New Roman" w:hAnsi="Times New Roman" w:cs="Times New Roman"/>
        </w:rPr>
        <w:t xml:space="preserve">    Interpretation of the legislation</w:t>
      </w:r>
      <w:r w:rsidRPr="00B9347B">
        <w:rPr>
          <w:rFonts w:ascii="Times New Roman" w:hAnsi="Times New Roman" w:cs="Times New Roman"/>
        </w:rPr>
        <w:ptab w:relativeTo="margin" w:alignment="right" w:leader="dot"/>
      </w:r>
      <w:r w:rsidR="00623128">
        <w:rPr>
          <w:rFonts w:ascii="Times New Roman" w:hAnsi="Times New Roman" w:cs="Times New Roman"/>
        </w:rPr>
        <w:t>22</w:t>
      </w:r>
    </w:p>
    <w:p w:rsidR="00886F73" w:rsidRPr="00B9347B" w:rsidRDefault="00BA2BCF" w:rsidP="00886F73">
      <w:pPr>
        <w:pStyle w:val="TOC3"/>
        <w:ind w:left="446"/>
        <w:rPr>
          <w:rFonts w:ascii="Times New Roman" w:hAnsi="Times New Roman" w:cs="Times New Roman"/>
        </w:rPr>
      </w:pPr>
      <w:r w:rsidRPr="00B9347B">
        <w:rPr>
          <w:rFonts w:ascii="Times New Roman" w:hAnsi="Times New Roman" w:cs="Times New Roman"/>
        </w:rPr>
        <w:t xml:space="preserve">    Recommendation 1: An expanded program of compliance reviews based on a broader use of existing powers</w:t>
      </w:r>
      <w:r w:rsidR="00886F73" w:rsidRPr="00B9347B">
        <w:rPr>
          <w:rFonts w:ascii="Times New Roman" w:hAnsi="Times New Roman" w:cs="Times New Roman"/>
        </w:rPr>
        <w:ptab w:relativeTo="margin" w:alignment="right" w:leader="dot"/>
      </w:r>
      <w:r w:rsidR="00623128">
        <w:rPr>
          <w:rFonts w:ascii="Times New Roman" w:hAnsi="Times New Roman" w:cs="Times New Roman"/>
        </w:rPr>
        <w:t>22</w:t>
      </w:r>
    </w:p>
    <w:p w:rsidR="00886F73" w:rsidRPr="00B9347B" w:rsidRDefault="00BA2BCF" w:rsidP="00886F73">
      <w:pPr>
        <w:pStyle w:val="TOC3"/>
        <w:ind w:left="446"/>
        <w:rPr>
          <w:rFonts w:ascii="Times New Roman" w:hAnsi="Times New Roman" w:cs="Times New Roman"/>
        </w:rPr>
      </w:pPr>
      <w:r w:rsidRPr="00B9347B">
        <w:rPr>
          <w:rFonts w:ascii="Times New Roman" w:hAnsi="Times New Roman" w:cs="Times New Roman"/>
        </w:rPr>
        <w:t xml:space="preserve">     The need for a new business model</w:t>
      </w:r>
      <w:r w:rsidR="00886F73" w:rsidRPr="00B9347B">
        <w:rPr>
          <w:rFonts w:ascii="Times New Roman" w:hAnsi="Times New Roman" w:cs="Times New Roman"/>
        </w:rPr>
        <w:ptab w:relativeTo="margin" w:alignment="right" w:leader="dot"/>
      </w:r>
      <w:r w:rsidR="00623128">
        <w:rPr>
          <w:rFonts w:ascii="Times New Roman" w:hAnsi="Times New Roman" w:cs="Times New Roman"/>
        </w:rPr>
        <w:t>23</w:t>
      </w:r>
    </w:p>
    <w:p w:rsidR="00B9347B" w:rsidRPr="00B9347B" w:rsidRDefault="00B9347B" w:rsidP="00B9347B">
      <w:pPr>
        <w:ind w:firstLine="720"/>
        <w:rPr>
          <w:rFonts w:ascii="Times New Roman" w:hAnsi="Times New Roman" w:cs="Times New Roman"/>
        </w:rPr>
      </w:pPr>
      <w:r w:rsidRPr="00B9347B">
        <w:rPr>
          <w:rFonts w:ascii="Times New Roman" w:hAnsi="Times New Roman" w:cs="Times New Roman"/>
        </w:rPr>
        <w:t>Associated entities</w:t>
      </w:r>
      <w:r w:rsidRPr="00B9347B">
        <w:rPr>
          <w:rFonts w:ascii="Times New Roman" w:hAnsi="Times New Roman" w:cs="Times New Roman"/>
        </w:rPr>
        <w:ptab w:relativeTo="margin" w:alignment="right" w:leader="dot"/>
      </w:r>
      <w:r w:rsidR="00623128">
        <w:rPr>
          <w:rFonts w:ascii="Times New Roman" w:hAnsi="Times New Roman" w:cs="Times New Roman"/>
        </w:rPr>
        <w:t>24</w:t>
      </w:r>
    </w:p>
    <w:p w:rsidR="00886F73" w:rsidRPr="00B9347B" w:rsidRDefault="00BA2BCF" w:rsidP="00886F73">
      <w:pPr>
        <w:pStyle w:val="TOC3"/>
        <w:ind w:left="446"/>
        <w:rPr>
          <w:rFonts w:ascii="Times New Roman" w:hAnsi="Times New Roman" w:cs="Times New Roman"/>
        </w:rPr>
      </w:pPr>
      <w:r w:rsidRPr="00B9347B">
        <w:rPr>
          <w:rFonts w:ascii="Times New Roman" w:hAnsi="Times New Roman" w:cs="Times New Roman"/>
        </w:rPr>
        <w:t xml:space="preserve">     Recommendation 2: Development of a new business model for the compliance function</w:t>
      </w:r>
      <w:r w:rsidR="00886F73" w:rsidRPr="00B9347B">
        <w:rPr>
          <w:rFonts w:ascii="Times New Roman" w:hAnsi="Times New Roman" w:cs="Times New Roman"/>
        </w:rPr>
        <w:ptab w:relativeTo="margin" w:alignment="right" w:leader="dot"/>
      </w:r>
      <w:r w:rsidR="00A86F5A">
        <w:rPr>
          <w:rFonts w:ascii="Times New Roman" w:hAnsi="Times New Roman" w:cs="Times New Roman"/>
        </w:rPr>
        <w:t>24</w:t>
      </w:r>
    </w:p>
    <w:p w:rsidR="00B9347B" w:rsidRPr="00B9347B" w:rsidRDefault="00B9347B" w:rsidP="0060582B">
      <w:pPr>
        <w:pStyle w:val="TOC3"/>
        <w:ind w:left="720"/>
        <w:rPr>
          <w:rFonts w:ascii="Times New Roman" w:hAnsi="Times New Roman" w:cs="Times New Roman"/>
        </w:rPr>
      </w:pPr>
      <w:r w:rsidRPr="00B9347B">
        <w:rPr>
          <w:rFonts w:ascii="Times New Roman" w:hAnsi="Times New Roman" w:cs="Times New Roman"/>
        </w:rPr>
        <w:t xml:space="preserve">Limitations of the </w:t>
      </w:r>
      <w:r w:rsidR="00623128">
        <w:rPr>
          <w:rFonts w:ascii="Times New Roman" w:hAnsi="Times New Roman" w:cs="Times New Roman"/>
        </w:rPr>
        <w:t>proposed new approach…</w:t>
      </w:r>
      <w:r w:rsidR="005E62F5">
        <w:rPr>
          <w:rFonts w:ascii="Times New Roman" w:hAnsi="Times New Roman" w:cs="Times New Roman"/>
        </w:rPr>
        <w:t>………………</w:t>
      </w:r>
      <w:r w:rsidR="00623128">
        <w:rPr>
          <w:rFonts w:ascii="Times New Roman" w:hAnsi="Times New Roman" w:cs="Times New Roman"/>
        </w:rPr>
        <w:t>…………………</w:t>
      </w:r>
      <w:r w:rsidR="005E62F5">
        <w:rPr>
          <w:rFonts w:ascii="Times New Roman" w:hAnsi="Times New Roman" w:cs="Times New Roman"/>
        </w:rPr>
        <w:t>……</w:t>
      </w:r>
      <w:r w:rsidRPr="00B9347B">
        <w:rPr>
          <w:rFonts w:ascii="Times New Roman" w:hAnsi="Times New Roman" w:cs="Times New Roman"/>
        </w:rPr>
        <w:t>………………………………</w:t>
      </w:r>
      <w:r w:rsidR="0060582B">
        <w:rPr>
          <w:rFonts w:ascii="Times New Roman" w:hAnsi="Times New Roman" w:cs="Times New Roman"/>
        </w:rPr>
        <w:t>……</w:t>
      </w:r>
      <w:r w:rsidR="006F2F6E">
        <w:rPr>
          <w:rFonts w:ascii="Times New Roman" w:hAnsi="Times New Roman" w:cs="Times New Roman"/>
        </w:rPr>
        <w:t>...</w:t>
      </w:r>
      <w:r w:rsidR="00A86F5A">
        <w:rPr>
          <w:rFonts w:ascii="Times New Roman" w:hAnsi="Times New Roman" w:cs="Times New Roman"/>
        </w:rPr>
        <w:t>…….2</w:t>
      </w:r>
      <w:r w:rsidR="00623128">
        <w:rPr>
          <w:rFonts w:ascii="Times New Roman" w:hAnsi="Times New Roman" w:cs="Times New Roman"/>
        </w:rPr>
        <w:t>5</w:t>
      </w:r>
    </w:p>
    <w:p w:rsidR="00886F73" w:rsidRPr="00B9347B" w:rsidRDefault="00BA2BCF" w:rsidP="00B9347B">
      <w:pPr>
        <w:pStyle w:val="TOC3"/>
        <w:ind w:left="446" w:firstLine="274"/>
        <w:rPr>
          <w:rFonts w:ascii="Times New Roman" w:hAnsi="Times New Roman" w:cs="Times New Roman"/>
        </w:rPr>
      </w:pPr>
      <w:r w:rsidRPr="00B9347B">
        <w:rPr>
          <w:rFonts w:ascii="Times New Roman" w:hAnsi="Times New Roman" w:cs="Times New Roman"/>
        </w:rPr>
        <w:t>Impact of legislative change on the FAD area</w:t>
      </w:r>
      <w:r w:rsidR="00886F73" w:rsidRPr="00B9347B">
        <w:rPr>
          <w:rFonts w:ascii="Times New Roman" w:hAnsi="Times New Roman" w:cs="Times New Roman"/>
        </w:rPr>
        <w:ptab w:relativeTo="margin" w:alignment="right" w:leader="dot"/>
      </w:r>
      <w:r w:rsidR="00623128">
        <w:rPr>
          <w:rFonts w:ascii="Times New Roman" w:hAnsi="Times New Roman" w:cs="Times New Roman"/>
        </w:rPr>
        <w:t>27</w:t>
      </w:r>
    </w:p>
    <w:p w:rsidR="00886F73" w:rsidRPr="00B9347B" w:rsidRDefault="00BA2BCF" w:rsidP="00886F73">
      <w:pPr>
        <w:pStyle w:val="TOC3"/>
        <w:ind w:left="446"/>
        <w:rPr>
          <w:rFonts w:ascii="Times New Roman" w:hAnsi="Times New Roman" w:cs="Times New Roman"/>
        </w:rPr>
      </w:pPr>
      <w:r w:rsidRPr="00B9347B">
        <w:rPr>
          <w:rFonts w:ascii="Times New Roman" w:hAnsi="Times New Roman" w:cs="Times New Roman"/>
        </w:rPr>
        <w:t xml:space="preserve">     Proposed creation of a new Funding, Disclosure and Compliance Branch</w:t>
      </w:r>
      <w:r w:rsidR="00886F73" w:rsidRPr="00B9347B">
        <w:rPr>
          <w:rFonts w:ascii="Times New Roman" w:hAnsi="Times New Roman" w:cs="Times New Roman"/>
        </w:rPr>
        <w:ptab w:relativeTo="margin" w:alignment="right" w:leader="dot"/>
      </w:r>
      <w:r w:rsidR="0060582B">
        <w:rPr>
          <w:rFonts w:ascii="Times New Roman" w:hAnsi="Times New Roman" w:cs="Times New Roman"/>
        </w:rPr>
        <w:t>2</w:t>
      </w:r>
      <w:r w:rsidR="00623128">
        <w:rPr>
          <w:rFonts w:ascii="Times New Roman" w:hAnsi="Times New Roman" w:cs="Times New Roman"/>
        </w:rPr>
        <w:t>9</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Recommendation 3:  Establishment of a new branch to administer the funding, disclosure   and compliance schemes</w:t>
      </w:r>
      <w:r w:rsidRPr="00B9347B">
        <w:rPr>
          <w:rFonts w:ascii="Times New Roman" w:hAnsi="Times New Roman" w:cs="Times New Roman"/>
        </w:rPr>
        <w:ptab w:relativeTo="margin" w:alignment="right" w:leader="dot"/>
      </w:r>
      <w:r w:rsidR="00623128">
        <w:rPr>
          <w:rFonts w:ascii="Times New Roman" w:hAnsi="Times New Roman" w:cs="Times New Roman"/>
        </w:rPr>
        <w:t>31</w:t>
      </w:r>
    </w:p>
    <w:p w:rsidR="00CA1D20"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w:t>
      </w:r>
      <w:r w:rsidR="00CA1D20">
        <w:rPr>
          <w:rFonts w:ascii="Times New Roman" w:hAnsi="Times New Roman" w:cs="Times New Roman"/>
        </w:rPr>
        <w:t>Improved information manageme</w:t>
      </w:r>
      <w:r w:rsidR="005E62F5">
        <w:rPr>
          <w:rFonts w:ascii="Times New Roman" w:hAnsi="Times New Roman" w:cs="Times New Roman"/>
        </w:rPr>
        <w:t>nt system………………………………</w:t>
      </w:r>
      <w:r w:rsidR="00CA53FF">
        <w:rPr>
          <w:rFonts w:ascii="Times New Roman" w:hAnsi="Times New Roman" w:cs="Times New Roman"/>
        </w:rPr>
        <w:t>……</w:t>
      </w:r>
      <w:r w:rsidR="00191E00">
        <w:rPr>
          <w:rFonts w:ascii="Times New Roman" w:hAnsi="Times New Roman" w:cs="Times New Roman"/>
        </w:rPr>
        <w:t>...</w:t>
      </w:r>
      <w:r w:rsidR="00623128">
        <w:rPr>
          <w:rFonts w:ascii="Times New Roman" w:hAnsi="Times New Roman" w:cs="Times New Roman"/>
        </w:rPr>
        <w:t>…………...32</w:t>
      </w:r>
    </w:p>
    <w:p w:rsidR="00BA2BCF" w:rsidRPr="00B9347B" w:rsidRDefault="00BA2BCF" w:rsidP="00CA1D20">
      <w:pPr>
        <w:pStyle w:val="TOC3"/>
        <w:ind w:left="720"/>
        <w:rPr>
          <w:rFonts w:ascii="Times New Roman" w:hAnsi="Times New Roman" w:cs="Times New Roman"/>
        </w:rPr>
      </w:pPr>
      <w:r w:rsidRPr="00B9347B">
        <w:rPr>
          <w:rFonts w:ascii="Times New Roman" w:hAnsi="Times New Roman" w:cs="Times New Roman"/>
        </w:rPr>
        <w:t>Recommendation 4:  Development of the existing FAD IT system as an integrated system for the proposed new branch</w:t>
      </w:r>
      <w:r w:rsidRPr="00B9347B">
        <w:rPr>
          <w:rFonts w:ascii="Times New Roman" w:hAnsi="Times New Roman" w:cs="Times New Roman"/>
        </w:rPr>
        <w:ptab w:relativeTo="margin" w:alignment="right" w:leader="dot"/>
      </w:r>
      <w:r w:rsidR="00623128">
        <w:rPr>
          <w:rFonts w:ascii="Times New Roman" w:hAnsi="Times New Roman" w:cs="Times New Roman"/>
        </w:rPr>
        <w:t>33</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Summary of conclusions arising out of the PwC performance audit</w:t>
      </w:r>
      <w:r w:rsidRPr="00B9347B">
        <w:rPr>
          <w:rFonts w:ascii="Times New Roman" w:hAnsi="Times New Roman" w:cs="Times New Roman"/>
        </w:rPr>
        <w:ptab w:relativeTo="margin" w:alignment="right" w:leader="dot"/>
      </w:r>
      <w:r w:rsidR="00623128">
        <w:rPr>
          <w:rFonts w:ascii="Times New Roman" w:hAnsi="Times New Roman" w:cs="Times New Roman"/>
        </w:rPr>
        <w:t>34</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Governance</w:t>
      </w:r>
      <w:r w:rsidRPr="00B9347B">
        <w:rPr>
          <w:rFonts w:ascii="Times New Roman" w:hAnsi="Times New Roman" w:cs="Times New Roman"/>
        </w:rPr>
        <w:ptab w:relativeTo="margin" w:alignment="right" w:leader="dot"/>
      </w:r>
      <w:r w:rsidR="00623128">
        <w:rPr>
          <w:rFonts w:ascii="Times New Roman" w:hAnsi="Times New Roman" w:cs="Times New Roman"/>
        </w:rPr>
        <w:t>34</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Risk management framework</w:t>
      </w:r>
      <w:r w:rsidRPr="00B9347B">
        <w:rPr>
          <w:rFonts w:ascii="Times New Roman" w:hAnsi="Times New Roman" w:cs="Times New Roman"/>
        </w:rPr>
        <w:ptab w:relativeTo="margin" w:alignment="right" w:leader="dot"/>
      </w:r>
      <w:r w:rsidR="00623128">
        <w:rPr>
          <w:rFonts w:ascii="Times New Roman" w:hAnsi="Times New Roman" w:cs="Times New Roman"/>
        </w:rPr>
        <w:t>34</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Audit methodology</w:t>
      </w:r>
      <w:r w:rsidRPr="00B9347B">
        <w:rPr>
          <w:rFonts w:ascii="Times New Roman" w:hAnsi="Times New Roman" w:cs="Times New Roman"/>
        </w:rPr>
        <w:ptab w:relativeTo="margin" w:alignment="right" w:leader="dot"/>
      </w:r>
      <w:r w:rsidR="00623128">
        <w:rPr>
          <w:rFonts w:ascii="Times New Roman" w:hAnsi="Times New Roman" w:cs="Times New Roman"/>
        </w:rPr>
        <w:t>35</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Human resource management</w:t>
      </w:r>
      <w:r w:rsidRPr="00B9347B">
        <w:rPr>
          <w:rFonts w:ascii="Times New Roman" w:hAnsi="Times New Roman" w:cs="Times New Roman"/>
        </w:rPr>
        <w:ptab w:relativeTo="margin" w:alignment="right" w:leader="dot"/>
      </w:r>
      <w:r w:rsidR="0060582B">
        <w:rPr>
          <w:rFonts w:ascii="Times New Roman" w:hAnsi="Times New Roman" w:cs="Times New Roman"/>
        </w:rPr>
        <w:t>3</w:t>
      </w:r>
      <w:r w:rsidR="00623128">
        <w:rPr>
          <w:rFonts w:ascii="Times New Roman" w:hAnsi="Times New Roman" w:cs="Times New Roman"/>
        </w:rPr>
        <w:t>6</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Concluding remarks</w:t>
      </w:r>
      <w:r w:rsidRPr="00B9347B">
        <w:rPr>
          <w:rFonts w:ascii="Times New Roman" w:hAnsi="Times New Roman" w:cs="Times New Roman"/>
        </w:rPr>
        <w:ptab w:relativeTo="margin" w:alignment="right" w:leader="dot"/>
      </w:r>
      <w:r w:rsidR="00623128">
        <w:rPr>
          <w:rFonts w:ascii="Times New Roman" w:hAnsi="Times New Roman" w:cs="Times New Roman"/>
        </w:rPr>
        <w:t>37</w:t>
      </w:r>
    </w:p>
    <w:p w:rsidR="00BA2BCF" w:rsidRPr="00B9347B" w:rsidRDefault="00BA2BCF" w:rsidP="00BA2BCF">
      <w:pPr>
        <w:pStyle w:val="TOC1"/>
        <w:rPr>
          <w:rFonts w:ascii="Times New Roman" w:hAnsi="Times New Roman" w:cs="Times New Roman"/>
        </w:rPr>
      </w:pPr>
      <w:r w:rsidRPr="00B9347B">
        <w:rPr>
          <w:rFonts w:ascii="Times New Roman" w:hAnsi="Times New Roman" w:cs="Times New Roman"/>
          <w:b/>
          <w:bCs/>
        </w:rPr>
        <w:t>Part 2: An analysis of the investigatory powers of the Commission associated with the disclosure and compliance provisions of Part XX of the Electoral Act</w:t>
      </w:r>
      <w:r w:rsidRPr="00B9347B">
        <w:rPr>
          <w:rFonts w:ascii="Times New Roman" w:hAnsi="Times New Roman" w:cs="Times New Roman"/>
        </w:rPr>
        <w:ptab w:relativeTo="margin" w:alignment="right" w:leader="dot"/>
      </w:r>
      <w:r w:rsidR="00623128">
        <w:rPr>
          <w:rFonts w:ascii="Times New Roman" w:hAnsi="Times New Roman" w:cs="Times New Roman"/>
          <w:bCs/>
        </w:rPr>
        <w:t>38</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 xml:space="preserve">  The Commission’s enforcement powers</w:t>
      </w:r>
      <w:r w:rsidRPr="00B9347B">
        <w:rPr>
          <w:rFonts w:ascii="Times New Roman" w:hAnsi="Times New Roman" w:cs="Times New Roman"/>
        </w:rPr>
        <w:ptab w:relativeTo="margin" w:alignment="right" w:leader="dot"/>
      </w:r>
      <w:r w:rsidR="0060582B">
        <w:rPr>
          <w:rFonts w:ascii="Times New Roman" w:hAnsi="Times New Roman" w:cs="Times New Roman"/>
        </w:rPr>
        <w:t>3</w:t>
      </w:r>
      <w:r w:rsidR="00623128">
        <w:rPr>
          <w:rFonts w:ascii="Times New Roman" w:hAnsi="Times New Roman" w:cs="Times New Roman"/>
        </w:rPr>
        <w:t>8</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 xml:space="preserve">   What is the purpose of Part XX of the </w:t>
      </w:r>
      <w:r w:rsidRPr="00B9347B">
        <w:rPr>
          <w:rFonts w:ascii="Times New Roman" w:hAnsi="Times New Roman" w:cs="Times New Roman"/>
          <w:i/>
        </w:rPr>
        <w:t xml:space="preserve">Commonwealth Electoral Act </w:t>
      </w:r>
      <w:r w:rsidRPr="00B9347B">
        <w:rPr>
          <w:rFonts w:ascii="Times New Roman" w:hAnsi="Times New Roman" w:cs="Times New Roman"/>
        </w:rPr>
        <w:t>1918?</w:t>
      </w:r>
      <w:r w:rsidRPr="00B9347B">
        <w:rPr>
          <w:rFonts w:ascii="Times New Roman" w:hAnsi="Times New Roman" w:cs="Times New Roman"/>
        </w:rPr>
        <w:ptab w:relativeTo="margin" w:alignment="right" w:leader="dot"/>
      </w:r>
      <w:r w:rsidR="00623128">
        <w:rPr>
          <w:rFonts w:ascii="Times New Roman" w:hAnsi="Times New Roman" w:cs="Times New Roman"/>
        </w:rPr>
        <w:t>40</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A targeted application of section 316(2A)</w:t>
      </w:r>
      <w:r w:rsidRPr="00B9347B">
        <w:rPr>
          <w:rFonts w:ascii="Times New Roman" w:hAnsi="Times New Roman" w:cs="Times New Roman"/>
        </w:rPr>
        <w:ptab w:relativeTo="margin" w:alignment="right" w:leader="dot"/>
      </w:r>
      <w:r w:rsidR="00623128">
        <w:rPr>
          <w:rFonts w:ascii="Times New Roman" w:hAnsi="Times New Roman" w:cs="Times New Roman"/>
        </w:rPr>
        <w:t>42</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lastRenderedPageBreak/>
        <w:t xml:space="preserve">    Impact of a targeted application of section 316(2A)</w:t>
      </w:r>
      <w:r w:rsidRPr="00B9347B">
        <w:rPr>
          <w:rFonts w:ascii="Times New Roman" w:hAnsi="Times New Roman" w:cs="Times New Roman"/>
        </w:rPr>
        <w:ptab w:relativeTo="margin" w:alignment="right" w:leader="dot"/>
      </w:r>
      <w:r w:rsidR="00623128">
        <w:rPr>
          <w:rFonts w:ascii="Times New Roman" w:hAnsi="Times New Roman" w:cs="Times New Roman"/>
        </w:rPr>
        <w:t>44</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Depth of analysis of financial records</w:t>
      </w:r>
      <w:r w:rsidRPr="00B9347B">
        <w:rPr>
          <w:rFonts w:ascii="Times New Roman" w:hAnsi="Times New Roman" w:cs="Times New Roman"/>
        </w:rPr>
        <w:ptab w:relativeTo="margin" w:alignment="right" w:leader="dot"/>
      </w:r>
      <w:r w:rsidR="00623128">
        <w:rPr>
          <w:rFonts w:ascii="Times New Roman" w:hAnsi="Times New Roman" w:cs="Times New Roman"/>
        </w:rPr>
        <w:t>45</w:t>
      </w:r>
    </w:p>
    <w:p w:rsidR="00BA2BCF" w:rsidRPr="00B9347B" w:rsidRDefault="00BA2BCF" w:rsidP="00BA2BCF">
      <w:pPr>
        <w:pStyle w:val="TOC1"/>
        <w:rPr>
          <w:rFonts w:ascii="Times New Roman" w:hAnsi="Times New Roman" w:cs="Times New Roman"/>
        </w:rPr>
      </w:pPr>
      <w:r w:rsidRPr="00B9347B">
        <w:rPr>
          <w:rFonts w:ascii="Times New Roman" w:hAnsi="Times New Roman" w:cs="Times New Roman"/>
          <w:b/>
          <w:bCs/>
        </w:rPr>
        <w:t>Part 3: Suggestions and observations to improve outcomes in the FAD section</w:t>
      </w:r>
      <w:r w:rsidRPr="00B9347B">
        <w:rPr>
          <w:rFonts w:ascii="Times New Roman" w:hAnsi="Times New Roman" w:cs="Times New Roman"/>
        </w:rPr>
        <w:ptab w:relativeTo="margin" w:alignment="right" w:leader="dot"/>
      </w:r>
      <w:r w:rsidR="00623128">
        <w:rPr>
          <w:rFonts w:ascii="Times New Roman" w:hAnsi="Times New Roman" w:cs="Times New Roman"/>
          <w:bCs/>
        </w:rPr>
        <w:t>46</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Background</w:t>
      </w:r>
      <w:r w:rsidRPr="00B9347B">
        <w:rPr>
          <w:rFonts w:ascii="Times New Roman" w:hAnsi="Times New Roman" w:cs="Times New Roman"/>
        </w:rPr>
        <w:ptab w:relativeTo="margin" w:alignment="right" w:leader="dot"/>
      </w:r>
      <w:r w:rsidR="00623128">
        <w:rPr>
          <w:rFonts w:ascii="Times New Roman" w:hAnsi="Times New Roman" w:cs="Times New Roman"/>
        </w:rPr>
        <w:t>46</w:t>
      </w:r>
    </w:p>
    <w:p w:rsidR="00BA2BCF" w:rsidRPr="00B9347B" w:rsidRDefault="00BA2BCF" w:rsidP="00BA2BCF">
      <w:pPr>
        <w:pStyle w:val="TOC2"/>
        <w:ind w:left="216"/>
        <w:rPr>
          <w:rFonts w:ascii="Times New Roman" w:hAnsi="Times New Roman" w:cs="Times New Roman"/>
        </w:rPr>
      </w:pPr>
      <w:r w:rsidRPr="00B9347B">
        <w:rPr>
          <w:rFonts w:ascii="Times New Roman" w:hAnsi="Times New Roman" w:cs="Times New Roman"/>
        </w:rPr>
        <w:t>Current situation</w:t>
      </w:r>
      <w:r w:rsidRPr="00B9347B">
        <w:rPr>
          <w:rFonts w:ascii="Times New Roman" w:hAnsi="Times New Roman" w:cs="Times New Roman"/>
        </w:rPr>
        <w:ptab w:relativeTo="margin" w:alignment="right" w:leader="dot"/>
      </w:r>
      <w:r w:rsidR="00623128">
        <w:rPr>
          <w:rFonts w:ascii="Times New Roman" w:hAnsi="Times New Roman" w:cs="Times New Roman"/>
        </w:rPr>
        <w:t>46</w:t>
      </w:r>
    </w:p>
    <w:p w:rsidR="00BA2BCF" w:rsidRDefault="00BA2BCF" w:rsidP="00BA2BCF">
      <w:pPr>
        <w:pStyle w:val="TOC2"/>
        <w:ind w:left="216"/>
        <w:rPr>
          <w:rFonts w:ascii="Times New Roman" w:hAnsi="Times New Roman" w:cs="Times New Roman"/>
        </w:rPr>
      </w:pPr>
      <w:r w:rsidRPr="00B9347B">
        <w:rPr>
          <w:rFonts w:ascii="Times New Roman" w:hAnsi="Times New Roman" w:cs="Times New Roman"/>
        </w:rPr>
        <w:t>Suggestions for increased integration between the three FAD functions: a strategic purpose and section objectives</w:t>
      </w:r>
      <w:r w:rsidRPr="00B9347B">
        <w:rPr>
          <w:rFonts w:ascii="Times New Roman" w:hAnsi="Times New Roman" w:cs="Times New Roman"/>
        </w:rPr>
        <w:ptab w:relativeTo="margin" w:alignment="right" w:leader="dot"/>
      </w:r>
      <w:r w:rsidR="0060582B">
        <w:rPr>
          <w:rFonts w:ascii="Times New Roman" w:hAnsi="Times New Roman" w:cs="Times New Roman"/>
        </w:rPr>
        <w:t>4</w:t>
      </w:r>
      <w:r w:rsidR="00623128">
        <w:rPr>
          <w:rFonts w:ascii="Times New Roman" w:hAnsi="Times New Roman" w:cs="Times New Roman"/>
        </w:rPr>
        <w:t>7</w:t>
      </w:r>
    </w:p>
    <w:p w:rsidR="00797A62" w:rsidRPr="00797A62" w:rsidRDefault="00797A62" w:rsidP="00797A62">
      <w:pPr>
        <w:pStyle w:val="TOC2"/>
        <w:ind w:left="216"/>
        <w:rPr>
          <w:rFonts w:ascii="Times New Roman" w:hAnsi="Times New Roman" w:cs="Times New Roman"/>
        </w:rPr>
      </w:pPr>
      <w:r>
        <w:rPr>
          <w:rFonts w:ascii="Times New Roman" w:hAnsi="Times New Roman" w:cs="Times New Roman"/>
        </w:rPr>
        <w:t>Administration of the disclosure and compliance scheme</w:t>
      </w:r>
      <w:r w:rsidRPr="00B9347B">
        <w:rPr>
          <w:rFonts w:ascii="Times New Roman" w:hAnsi="Times New Roman" w:cs="Times New Roman"/>
        </w:rPr>
        <w:ptab w:relativeTo="margin" w:alignment="right" w:leader="dot"/>
      </w:r>
      <w:r w:rsidR="00623128">
        <w:rPr>
          <w:rFonts w:ascii="Times New Roman" w:hAnsi="Times New Roman" w:cs="Times New Roman"/>
        </w:rPr>
        <w:t>49</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Collaboration when a new political party is registered or a new office bearer is appointed</w:t>
      </w:r>
      <w:r w:rsidRPr="00B9347B">
        <w:rPr>
          <w:rFonts w:ascii="Times New Roman" w:hAnsi="Times New Roman" w:cs="Times New Roman"/>
        </w:rPr>
        <w:ptab w:relativeTo="margin" w:alignment="right" w:leader="dot"/>
      </w:r>
      <w:r w:rsidR="00623128">
        <w:rPr>
          <w:rFonts w:ascii="Times New Roman" w:hAnsi="Times New Roman" w:cs="Times New Roman"/>
        </w:rPr>
        <w:t>51</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Collaboration when stakeholders are informed of their disclosure obligation</w:t>
      </w:r>
      <w:r w:rsidRPr="00B9347B">
        <w:rPr>
          <w:rFonts w:ascii="Times New Roman" w:hAnsi="Times New Roman" w:cs="Times New Roman"/>
        </w:rPr>
        <w:ptab w:relativeTo="margin" w:alignment="right" w:leader="dot"/>
      </w:r>
      <w:r w:rsidR="00623128">
        <w:rPr>
          <w:rFonts w:ascii="Times New Roman" w:hAnsi="Times New Roman" w:cs="Times New Roman"/>
        </w:rPr>
        <w:t>52</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Collaboration in the administration of the compliance scheme</w:t>
      </w:r>
      <w:r w:rsidRPr="00B9347B">
        <w:rPr>
          <w:rFonts w:ascii="Times New Roman" w:hAnsi="Times New Roman" w:cs="Times New Roman"/>
        </w:rPr>
        <w:ptab w:relativeTo="margin" w:alignment="right" w:leader="dot"/>
      </w:r>
      <w:r w:rsidR="00623128">
        <w:rPr>
          <w:rFonts w:ascii="Times New Roman" w:hAnsi="Times New Roman" w:cs="Times New Roman"/>
        </w:rPr>
        <w:t>52</w:t>
      </w:r>
    </w:p>
    <w:p w:rsidR="00BA2BCF" w:rsidRPr="00B9347B" w:rsidRDefault="00BA2BCF" w:rsidP="00BA2BCF">
      <w:pPr>
        <w:pStyle w:val="TOC3"/>
        <w:ind w:left="446"/>
        <w:rPr>
          <w:rFonts w:ascii="Times New Roman" w:hAnsi="Times New Roman" w:cs="Times New Roman"/>
        </w:rPr>
      </w:pPr>
      <w:r w:rsidRPr="00B9347B">
        <w:rPr>
          <w:rFonts w:ascii="Times New Roman" w:hAnsi="Times New Roman" w:cs="Times New Roman"/>
        </w:rPr>
        <w:t xml:space="preserve">  </w:t>
      </w:r>
      <w:r w:rsidR="000C0FCD">
        <w:rPr>
          <w:rFonts w:ascii="Times New Roman" w:hAnsi="Times New Roman" w:cs="Times New Roman"/>
        </w:rPr>
        <w:t xml:space="preserve"> </w:t>
      </w:r>
      <w:r w:rsidRPr="00B9347B">
        <w:rPr>
          <w:rFonts w:ascii="Times New Roman" w:hAnsi="Times New Roman" w:cs="Times New Roman"/>
        </w:rPr>
        <w:t xml:space="preserve">  Collaboration in enhancing the FAD educative role</w:t>
      </w:r>
      <w:r w:rsidRPr="00B9347B">
        <w:rPr>
          <w:rFonts w:ascii="Times New Roman" w:hAnsi="Times New Roman" w:cs="Times New Roman"/>
        </w:rPr>
        <w:ptab w:relativeTo="margin" w:alignment="right" w:leader="dot"/>
      </w:r>
      <w:r w:rsidR="00623128">
        <w:rPr>
          <w:rFonts w:ascii="Times New Roman" w:hAnsi="Times New Roman" w:cs="Times New Roman"/>
        </w:rPr>
        <w:t>53</w:t>
      </w:r>
    </w:p>
    <w:p w:rsidR="00B9347B" w:rsidRPr="00B9347B" w:rsidRDefault="00B9347B" w:rsidP="00B9347B">
      <w:pPr>
        <w:pStyle w:val="TOC2"/>
        <w:ind w:left="216"/>
        <w:rPr>
          <w:rFonts w:ascii="Times New Roman" w:hAnsi="Times New Roman" w:cs="Times New Roman"/>
        </w:rPr>
      </w:pPr>
      <w:r w:rsidRPr="00B9347B">
        <w:rPr>
          <w:rFonts w:ascii="Times New Roman" w:hAnsi="Times New Roman" w:cs="Times New Roman"/>
        </w:rPr>
        <w:t>The FAD IT System</w:t>
      </w:r>
      <w:r w:rsidRPr="00B9347B">
        <w:rPr>
          <w:rFonts w:ascii="Times New Roman" w:hAnsi="Times New Roman" w:cs="Times New Roman"/>
        </w:rPr>
        <w:ptab w:relativeTo="margin" w:alignment="right" w:leader="dot"/>
      </w:r>
      <w:r w:rsidRPr="00B9347B">
        <w:rPr>
          <w:rFonts w:ascii="Times New Roman" w:hAnsi="Times New Roman" w:cs="Times New Roman"/>
        </w:rPr>
        <w:t>5</w:t>
      </w:r>
      <w:r w:rsidR="00623128">
        <w:rPr>
          <w:rFonts w:ascii="Times New Roman" w:hAnsi="Times New Roman" w:cs="Times New Roman"/>
        </w:rPr>
        <w:t>4</w:t>
      </w:r>
    </w:p>
    <w:p w:rsidR="00777F4B" w:rsidRDefault="00002333" w:rsidP="00B9347B">
      <w:pPr>
        <w:pStyle w:val="TOC1"/>
        <w:rPr>
          <w:rFonts w:ascii="Times New Roman" w:hAnsi="Times New Roman" w:cs="Times New Roman"/>
          <w:b/>
          <w:bCs/>
        </w:rPr>
      </w:pPr>
      <w:r>
        <w:rPr>
          <w:rFonts w:ascii="Times New Roman" w:hAnsi="Times New Roman" w:cs="Times New Roman"/>
          <w:b/>
          <w:bCs/>
        </w:rPr>
        <w:t xml:space="preserve">Part 4: </w:t>
      </w:r>
    </w:p>
    <w:p w:rsidR="00B9347B" w:rsidRPr="00B9347B" w:rsidRDefault="00777F4B" w:rsidP="00B9347B">
      <w:pPr>
        <w:pStyle w:val="TOC1"/>
        <w:rPr>
          <w:rFonts w:ascii="Times New Roman" w:hAnsi="Times New Roman" w:cs="Times New Roman"/>
        </w:rPr>
      </w:pPr>
      <w:r>
        <w:rPr>
          <w:rFonts w:ascii="Times New Roman" w:hAnsi="Times New Roman" w:cs="Times New Roman"/>
          <w:b/>
          <w:bCs/>
        </w:rPr>
        <w:t xml:space="preserve">PricewaterhouseCoopers </w:t>
      </w:r>
      <w:r w:rsidR="00B9347B" w:rsidRPr="00B9347B">
        <w:rPr>
          <w:rFonts w:ascii="Times New Roman" w:hAnsi="Times New Roman" w:cs="Times New Roman"/>
          <w:b/>
          <w:bCs/>
        </w:rPr>
        <w:t>report</w:t>
      </w:r>
      <w:r w:rsidR="00002333">
        <w:rPr>
          <w:rFonts w:ascii="Times New Roman" w:hAnsi="Times New Roman" w:cs="Times New Roman"/>
          <w:b/>
          <w:bCs/>
        </w:rPr>
        <w:t>……….</w:t>
      </w:r>
      <w:r w:rsidR="0060582B">
        <w:rPr>
          <w:rFonts w:ascii="Times New Roman" w:hAnsi="Times New Roman" w:cs="Times New Roman"/>
          <w:b/>
          <w:bCs/>
        </w:rPr>
        <w:t>………</w:t>
      </w:r>
      <w:r>
        <w:rPr>
          <w:rFonts w:ascii="Times New Roman" w:hAnsi="Times New Roman" w:cs="Times New Roman"/>
          <w:b/>
          <w:bCs/>
        </w:rPr>
        <w:t>………</w:t>
      </w:r>
      <w:r w:rsidR="00002333">
        <w:rPr>
          <w:rFonts w:ascii="Times New Roman" w:hAnsi="Times New Roman" w:cs="Times New Roman"/>
          <w:b/>
          <w:bCs/>
        </w:rPr>
        <w:t>.</w:t>
      </w:r>
      <w:r w:rsidR="00191E00">
        <w:rPr>
          <w:rFonts w:ascii="Times New Roman" w:hAnsi="Times New Roman" w:cs="Times New Roman"/>
          <w:b/>
          <w:bCs/>
        </w:rPr>
        <w:t>...</w:t>
      </w:r>
      <w:r w:rsidR="0060582B">
        <w:rPr>
          <w:rFonts w:ascii="Times New Roman" w:hAnsi="Times New Roman" w:cs="Times New Roman"/>
          <w:b/>
          <w:bCs/>
        </w:rPr>
        <w:t>……</w:t>
      </w:r>
      <w:r w:rsidR="00002333">
        <w:rPr>
          <w:rFonts w:ascii="Times New Roman" w:hAnsi="Times New Roman" w:cs="Times New Roman"/>
          <w:b/>
          <w:bCs/>
        </w:rPr>
        <w:t>…………………………………</w:t>
      </w:r>
      <w:r w:rsidR="0060582B">
        <w:rPr>
          <w:rFonts w:ascii="Times New Roman" w:hAnsi="Times New Roman" w:cs="Times New Roman"/>
          <w:b/>
          <w:bCs/>
        </w:rPr>
        <w:t>…</w:t>
      </w:r>
      <w:r w:rsidR="00623128">
        <w:rPr>
          <w:rFonts w:ascii="Times New Roman" w:hAnsi="Times New Roman" w:cs="Times New Roman"/>
          <w:bCs/>
        </w:rPr>
        <w:t>56</w:t>
      </w:r>
    </w:p>
    <w:p w:rsidR="00191E00" w:rsidRDefault="00387D5D" w:rsidP="00B1269A">
      <w:pPr>
        <w:rPr>
          <w:rFonts w:ascii="Times New Roman" w:hAnsi="Times New Roman" w:cs="Times New Roman"/>
        </w:rPr>
      </w:pPr>
      <w:bookmarkStart w:id="1" w:name="_Toc339540818"/>
      <w:r>
        <w:rPr>
          <w:rFonts w:ascii="Times New Roman" w:hAnsi="Times New Roman" w:cs="Times New Roman"/>
        </w:rPr>
        <w:t>Disclaimer……………………………………………………………………………………………….i</w:t>
      </w:r>
    </w:p>
    <w:p w:rsidR="00387D5D" w:rsidRPr="00191E00" w:rsidRDefault="00387D5D" w:rsidP="00B1269A">
      <w:pPr>
        <w:rPr>
          <w:rFonts w:ascii="Times New Roman" w:hAnsi="Times New Roman" w:cs="Times New Roman"/>
        </w:rPr>
      </w:pPr>
      <w:r>
        <w:rPr>
          <w:rFonts w:ascii="Times New Roman" w:hAnsi="Times New Roman" w:cs="Times New Roman"/>
        </w:rPr>
        <w:t>Executive summary…………………………………………………………………………………..…ii</w:t>
      </w:r>
    </w:p>
    <w:p w:rsidR="00191E00" w:rsidRDefault="00387D5D" w:rsidP="00B1269A">
      <w:pPr>
        <w:ind w:left="142"/>
        <w:rPr>
          <w:rFonts w:ascii="Times New Roman" w:hAnsi="Times New Roman" w:cs="Times New Roman"/>
        </w:rPr>
      </w:pPr>
      <w:r>
        <w:rPr>
          <w:rFonts w:ascii="Times New Roman" w:hAnsi="Times New Roman" w:cs="Times New Roman"/>
        </w:rPr>
        <w:t>Introduction and scope………………………………………………………………………………..ii</w:t>
      </w:r>
    </w:p>
    <w:p w:rsidR="00387D5D" w:rsidRDefault="00387D5D" w:rsidP="00387D5D">
      <w:pPr>
        <w:ind w:left="142"/>
        <w:rPr>
          <w:rFonts w:ascii="Times New Roman" w:hAnsi="Times New Roman" w:cs="Times New Roman"/>
        </w:rPr>
      </w:pPr>
      <w:r>
        <w:rPr>
          <w:rFonts w:ascii="Times New Roman" w:hAnsi="Times New Roman" w:cs="Times New Roman"/>
        </w:rPr>
        <w:t>Overview of observations and proposed solutions……………………………………………………ii</w:t>
      </w:r>
    </w:p>
    <w:p w:rsidR="00387D5D" w:rsidRDefault="00387D5D" w:rsidP="00B1269A">
      <w:pPr>
        <w:pStyle w:val="ListParagraph"/>
        <w:numPr>
          <w:ilvl w:val="0"/>
          <w:numId w:val="42"/>
        </w:numPr>
        <w:rPr>
          <w:rFonts w:ascii="Times New Roman" w:hAnsi="Times New Roman" w:cs="Times New Roman"/>
        </w:rPr>
      </w:pPr>
      <w:r>
        <w:rPr>
          <w:rFonts w:ascii="Times New Roman" w:hAnsi="Times New Roman" w:cs="Times New Roman"/>
        </w:rPr>
        <w:t>Background and approach………………………………………………………………………….2</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Background……………………………………………………………………………………2</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Approach…………………………………………………………………………………...…2</w:t>
      </w:r>
    </w:p>
    <w:p w:rsidR="00B1269A" w:rsidRDefault="00B1269A" w:rsidP="00B1269A">
      <w:pPr>
        <w:pStyle w:val="ListParagraph"/>
        <w:ind w:left="792"/>
        <w:rPr>
          <w:rFonts w:ascii="Times New Roman" w:hAnsi="Times New Roman" w:cs="Times New Roman"/>
        </w:rPr>
      </w:pPr>
    </w:p>
    <w:p w:rsidR="00387D5D" w:rsidRDefault="00387D5D" w:rsidP="00B1269A">
      <w:pPr>
        <w:pStyle w:val="ListParagraph"/>
        <w:numPr>
          <w:ilvl w:val="0"/>
          <w:numId w:val="42"/>
        </w:numPr>
        <w:rPr>
          <w:rFonts w:ascii="Times New Roman" w:hAnsi="Times New Roman" w:cs="Times New Roman"/>
        </w:rPr>
      </w:pPr>
      <w:r>
        <w:rPr>
          <w:rFonts w:ascii="Times New Roman" w:hAnsi="Times New Roman" w:cs="Times New Roman"/>
        </w:rPr>
        <w:t>Observations………………………………………………………………………………………..4</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Governance……………………………………………………………………………………4</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Risk Management……………………………………………………………………………..6</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Audit Methodology…………………………………………………………………………..11</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Human Resource Management………………………………………………………………16</w:t>
      </w:r>
    </w:p>
    <w:p w:rsidR="00B1269A" w:rsidRDefault="00B1269A" w:rsidP="00B1269A">
      <w:pPr>
        <w:pStyle w:val="ListParagraph"/>
        <w:ind w:left="792"/>
        <w:rPr>
          <w:rFonts w:ascii="Times New Roman" w:hAnsi="Times New Roman" w:cs="Times New Roman"/>
        </w:rPr>
      </w:pPr>
    </w:p>
    <w:p w:rsidR="00387D5D" w:rsidRDefault="00387D5D" w:rsidP="00B1269A">
      <w:pPr>
        <w:pStyle w:val="ListParagraph"/>
        <w:numPr>
          <w:ilvl w:val="0"/>
          <w:numId w:val="42"/>
        </w:numPr>
        <w:rPr>
          <w:rFonts w:ascii="Times New Roman" w:hAnsi="Times New Roman" w:cs="Times New Roman"/>
        </w:rPr>
      </w:pPr>
      <w:r>
        <w:rPr>
          <w:rFonts w:ascii="Times New Roman" w:hAnsi="Times New Roman" w:cs="Times New Roman"/>
        </w:rPr>
        <w:t>Compliance function – methodology and work papers review…………………………………...19</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Our approach………………………………………………………………………………...19</w:t>
      </w:r>
    </w:p>
    <w:p w:rsidR="00387D5D" w:rsidRDefault="00387D5D" w:rsidP="00B1269A">
      <w:pPr>
        <w:pStyle w:val="ListParagraph"/>
        <w:numPr>
          <w:ilvl w:val="1"/>
          <w:numId w:val="42"/>
        </w:numPr>
        <w:rPr>
          <w:rFonts w:ascii="Times New Roman" w:hAnsi="Times New Roman" w:cs="Times New Roman"/>
        </w:rPr>
      </w:pPr>
      <w:r>
        <w:rPr>
          <w:rFonts w:ascii="Times New Roman" w:hAnsi="Times New Roman" w:cs="Times New Roman"/>
        </w:rPr>
        <w:t>Detailed findings – methodology and work papers………………………………………….19</w:t>
      </w:r>
    </w:p>
    <w:p w:rsidR="00387D5D" w:rsidRDefault="00387D5D" w:rsidP="00387D5D">
      <w:pPr>
        <w:rPr>
          <w:rFonts w:ascii="Times New Roman" w:hAnsi="Times New Roman" w:cs="Times New Roman"/>
        </w:rPr>
      </w:pPr>
      <w:r>
        <w:rPr>
          <w:rFonts w:ascii="Times New Roman" w:hAnsi="Times New Roman" w:cs="Times New Roman"/>
        </w:rPr>
        <w:t>Appendix A Consultation……………………………………………………………………………..24</w:t>
      </w:r>
    </w:p>
    <w:p w:rsidR="00387D5D" w:rsidRDefault="00387D5D" w:rsidP="00387D5D">
      <w:pPr>
        <w:rPr>
          <w:rFonts w:ascii="Times New Roman" w:hAnsi="Times New Roman" w:cs="Times New Roman"/>
        </w:rPr>
      </w:pPr>
      <w:r>
        <w:rPr>
          <w:rFonts w:ascii="Times New Roman" w:hAnsi="Times New Roman" w:cs="Times New Roman"/>
        </w:rPr>
        <w:t>Appendix B  Risk assessment methodology for compliance review activity…………………………25</w:t>
      </w:r>
    </w:p>
    <w:p w:rsidR="00387D5D" w:rsidRDefault="00387D5D" w:rsidP="00387D5D">
      <w:pPr>
        <w:pStyle w:val="ListParagraph"/>
        <w:numPr>
          <w:ilvl w:val="0"/>
          <w:numId w:val="43"/>
        </w:numPr>
        <w:rPr>
          <w:rFonts w:ascii="Times New Roman" w:hAnsi="Times New Roman" w:cs="Times New Roman"/>
        </w:rPr>
      </w:pPr>
      <w:r>
        <w:rPr>
          <w:rFonts w:ascii="Times New Roman" w:hAnsi="Times New Roman" w:cs="Times New Roman"/>
        </w:rPr>
        <w:t>Introduction……………………………………………………………………………………….26</w:t>
      </w:r>
    </w:p>
    <w:p w:rsidR="00387D5D" w:rsidRDefault="00387D5D" w:rsidP="00387D5D">
      <w:pPr>
        <w:pStyle w:val="ListParagraph"/>
        <w:numPr>
          <w:ilvl w:val="1"/>
          <w:numId w:val="43"/>
        </w:numPr>
        <w:rPr>
          <w:rFonts w:ascii="Times New Roman" w:hAnsi="Times New Roman" w:cs="Times New Roman"/>
        </w:rPr>
      </w:pPr>
      <w:r>
        <w:rPr>
          <w:rFonts w:ascii="Times New Roman" w:hAnsi="Times New Roman" w:cs="Times New Roman"/>
        </w:rPr>
        <w:t>Scope of the proposed sampling framework………………………………………………...26</w:t>
      </w:r>
    </w:p>
    <w:p w:rsidR="00B1269A" w:rsidRDefault="00B1269A" w:rsidP="00B1269A">
      <w:pPr>
        <w:pStyle w:val="ListParagraph"/>
        <w:ind w:left="792"/>
        <w:rPr>
          <w:rFonts w:ascii="Times New Roman" w:hAnsi="Times New Roman" w:cs="Times New Roman"/>
        </w:rPr>
      </w:pPr>
    </w:p>
    <w:p w:rsidR="00B1269A" w:rsidRDefault="00B1269A" w:rsidP="00B1269A">
      <w:pPr>
        <w:pStyle w:val="ListParagraph"/>
        <w:ind w:left="792"/>
        <w:rPr>
          <w:rFonts w:ascii="Times New Roman" w:hAnsi="Times New Roman" w:cs="Times New Roman"/>
        </w:rPr>
      </w:pPr>
    </w:p>
    <w:p w:rsidR="00387D5D" w:rsidRDefault="00387D5D" w:rsidP="00387D5D">
      <w:pPr>
        <w:pStyle w:val="ListParagraph"/>
        <w:numPr>
          <w:ilvl w:val="0"/>
          <w:numId w:val="43"/>
        </w:numPr>
        <w:rPr>
          <w:rFonts w:ascii="Times New Roman" w:hAnsi="Times New Roman" w:cs="Times New Roman"/>
        </w:rPr>
      </w:pPr>
      <w:r>
        <w:rPr>
          <w:rFonts w:ascii="Times New Roman" w:hAnsi="Times New Roman" w:cs="Times New Roman"/>
        </w:rPr>
        <w:t>A risk-based approach to the AEC’s compliance activity………………………………………..27</w:t>
      </w:r>
    </w:p>
    <w:p w:rsidR="00387D5D" w:rsidRDefault="00387D5D" w:rsidP="00387D5D">
      <w:pPr>
        <w:pStyle w:val="ListParagraph"/>
        <w:numPr>
          <w:ilvl w:val="1"/>
          <w:numId w:val="43"/>
        </w:numPr>
        <w:rPr>
          <w:rFonts w:ascii="Times New Roman" w:hAnsi="Times New Roman" w:cs="Times New Roman"/>
        </w:rPr>
      </w:pPr>
      <w:r>
        <w:rPr>
          <w:rFonts w:ascii="Times New Roman" w:hAnsi="Times New Roman" w:cs="Times New Roman"/>
        </w:rPr>
        <w:t>Objectives of the financial disclosure scheme………………………………………………27</w:t>
      </w:r>
    </w:p>
    <w:p w:rsidR="00387D5D" w:rsidRDefault="00387D5D" w:rsidP="00387D5D">
      <w:pPr>
        <w:pStyle w:val="ListParagraph"/>
        <w:numPr>
          <w:ilvl w:val="1"/>
          <w:numId w:val="43"/>
        </w:numPr>
        <w:rPr>
          <w:rFonts w:ascii="Times New Roman" w:hAnsi="Times New Roman" w:cs="Times New Roman"/>
        </w:rPr>
      </w:pPr>
      <w:r>
        <w:rPr>
          <w:rFonts w:ascii="Times New Roman" w:hAnsi="Times New Roman" w:cs="Times New Roman"/>
        </w:rPr>
        <w:t>Limitations of the AEC’s current approach…………………………………………………28</w:t>
      </w:r>
    </w:p>
    <w:p w:rsidR="00377993" w:rsidRDefault="00377993" w:rsidP="00387D5D">
      <w:pPr>
        <w:pStyle w:val="ListParagraph"/>
        <w:numPr>
          <w:ilvl w:val="1"/>
          <w:numId w:val="43"/>
        </w:numPr>
        <w:rPr>
          <w:rFonts w:ascii="Times New Roman" w:hAnsi="Times New Roman" w:cs="Times New Roman"/>
        </w:rPr>
      </w:pPr>
      <w:r>
        <w:rPr>
          <w:rFonts w:ascii="Times New Roman" w:hAnsi="Times New Roman" w:cs="Times New Roman"/>
        </w:rPr>
        <w:t>Risk-based compliance approach……………………………………………………………28</w:t>
      </w:r>
    </w:p>
    <w:p w:rsidR="00377993" w:rsidRDefault="00377993" w:rsidP="00387D5D">
      <w:pPr>
        <w:pStyle w:val="ListParagraph"/>
        <w:numPr>
          <w:ilvl w:val="1"/>
          <w:numId w:val="43"/>
        </w:numPr>
        <w:rPr>
          <w:rFonts w:ascii="Times New Roman" w:hAnsi="Times New Roman" w:cs="Times New Roman"/>
        </w:rPr>
      </w:pPr>
      <w:r>
        <w:rPr>
          <w:rFonts w:ascii="Times New Roman" w:hAnsi="Times New Roman" w:cs="Times New Roman"/>
        </w:rPr>
        <w:t>Risk…………………………………………………………………………………………</w:t>
      </w:r>
      <w:r w:rsidR="009F721A">
        <w:rPr>
          <w:rFonts w:ascii="Times New Roman" w:hAnsi="Times New Roman" w:cs="Times New Roman"/>
        </w:rPr>
        <w:t>.</w:t>
      </w:r>
      <w:r>
        <w:rPr>
          <w:rFonts w:ascii="Times New Roman" w:hAnsi="Times New Roman" w:cs="Times New Roman"/>
        </w:rPr>
        <w:t>28</w:t>
      </w:r>
    </w:p>
    <w:p w:rsidR="00377993" w:rsidRDefault="00377993" w:rsidP="00387D5D">
      <w:pPr>
        <w:pStyle w:val="ListParagraph"/>
        <w:numPr>
          <w:ilvl w:val="1"/>
          <w:numId w:val="43"/>
        </w:numPr>
        <w:rPr>
          <w:rFonts w:ascii="Times New Roman" w:hAnsi="Times New Roman" w:cs="Times New Roman"/>
        </w:rPr>
      </w:pPr>
      <w:r>
        <w:rPr>
          <w:rFonts w:ascii="Times New Roman" w:hAnsi="Times New Roman" w:cs="Times New Roman"/>
        </w:rPr>
        <w:t>Proposed risk indicators…………………………………………………………………….</w:t>
      </w:r>
      <w:r w:rsidR="009F721A">
        <w:rPr>
          <w:rFonts w:ascii="Times New Roman" w:hAnsi="Times New Roman" w:cs="Times New Roman"/>
        </w:rPr>
        <w:t>.</w:t>
      </w:r>
      <w:r>
        <w:rPr>
          <w:rFonts w:ascii="Times New Roman" w:hAnsi="Times New Roman" w:cs="Times New Roman"/>
        </w:rPr>
        <w:t>29</w:t>
      </w:r>
    </w:p>
    <w:p w:rsidR="00377993" w:rsidRDefault="00377993" w:rsidP="00377993">
      <w:pPr>
        <w:rPr>
          <w:rFonts w:ascii="Times New Roman" w:hAnsi="Times New Roman" w:cs="Times New Roman"/>
        </w:rPr>
      </w:pPr>
      <w:r>
        <w:rPr>
          <w:rFonts w:ascii="Times New Roman" w:hAnsi="Times New Roman" w:cs="Times New Roman"/>
        </w:rPr>
        <w:t>Appendix C Implementation of past internal audit recommendations……………………………….34</w:t>
      </w:r>
    </w:p>
    <w:p w:rsidR="00377993" w:rsidRPr="00377993" w:rsidRDefault="00377993" w:rsidP="00377993">
      <w:pPr>
        <w:rPr>
          <w:rFonts w:ascii="Times New Roman" w:hAnsi="Times New Roman" w:cs="Times New Roman"/>
        </w:rPr>
      </w:pPr>
      <w:r>
        <w:rPr>
          <w:rFonts w:ascii="Times New Roman" w:hAnsi="Times New Roman" w:cs="Times New Roman"/>
        </w:rPr>
        <w:t>Appendix D Performance audit – PwC terms of reference…………………………………………..38</w:t>
      </w: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191E00" w:rsidRDefault="00191E00" w:rsidP="008E2F19">
      <w:pPr>
        <w:jc w:val="center"/>
        <w:rPr>
          <w:rFonts w:ascii="Times New Roman" w:hAnsi="Times New Roman" w:cs="Times New Roman"/>
          <w:b/>
        </w:rPr>
      </w:pPr>
    </w:p>
    <w:p w:rsidR="00D323F6" w:rsidRDefault="00D323F6" w:rsidP="008E2F19">
      <w:pPr>
        <w:jc w:val="center"/>
        <w:rPr>
          <w:rFonts w:ascii="Times New Roman" w:hAnsi="Times New Roman" w:cs="Times New Roman"/>
          <w:b/>
        </w:rPr>
      </w:pPr>
    </w:p>
    <w:p w:rsidR="00D323F6" w:rsidRDefault="00D323F6" w:rsidP="008E2F19">
      <w:pPr>
        <w:jc w:val="center"/>
        <w:rPr>
          <w:rFonts w:ascii="Times New Roman" w:hAnsi="Times New Roman" w:cs="Times New Roman"/>
          <w:b/>
        </w:rPr>
      </w:pPr>
    </w:p>
    <w:p w:rsidR="00D323F6" w:rsidRDefault="00D323F6" w:rsidP="008E2F19">
      <w:pPr>
        <w:jc w:val="center"/>
        <w:rPr>
          <w:rFonts w:ascii="Times New Roman" w:hAnsi="Times New Roman" w:cs="Times New Roman"/>
          <w:b/>
        </w:rPr>
      </w:pPr>
    </w:p>
    <w:p w:rsidR="003F033D" w:rsidRDefault="003F033D" w:rsidP="008E2F19">
      <w:pPr>
        <w:jc w:val="center"/>
        <w:rPr>
          <w:rFonts w:ascii="Times New Roman" w:hAnsi="Times New Roman" w:cs="Times New Roman"/>
          <w:b/>
        </w:rPr>
      </w:pPr>
    </w:p>
    <w:p w:rsidR="00D323F6" w:rsidRDefault="00D323F6" w:rsidP="008E2F19">
      <w:pPr>
        <w:jc w:val="center"/>
        <w:rPr>
          <w:rFonts w:ascii="Times New Roman" w:hAnsi="Times New Roman" w:cs="Times New Roman"/>
          <w:b/>
        </w:rPr>
      </w:pPr>
    </w:p>
    <w:p w:rsidR="00377993" w:rsidRDefault="00377993" w:rsidP="008E2F19">
      <w:pPr>
        <w:jc w:val="center"/>
        <w:rPr>
          <w:rFonts w:ascii="Times New Roman" w:hAnsi="Times New Roman" w:cs="Times New Roman"/>
          <w:b/>
        </w:rPr>
      </w:pPr>
    </w:p>
    <w:p w:rsidR="00377993" w:rsidRDefault="00377993" w:rsidP="008E2F19">
      <w:pPr>
        <w:jc w:val="center"/>
        <w:rPr>
          <w:rFonts w:ascii="Times New Roman" w:hAnsi="Times New Roman" w:cs="Times New Roman"/>
          <w:b/>
        </w:rPr>
      </w:pPr>
    </w:p>
    <w:p w:rsidR="00377993" w:rsidRDefault="00377993" w:rsidP="008E2F19">
      <w:pPr>
        <w:jc w:val="center"/>
        <w:rPr>
          <w:rFonts w:ascii="Times New Roman" w:hAnsi="Times New Roman" w:cs="Times New Roman"/>
          <w:b/>
        </w:rPr>
      </w:pPr>
    </w:p>
    <w:p w:rsidR="00377993" w:rsidRDefault="00377993" w:rsidP="008E2F19">
      <w:pPr>
        <w:jc w:val="center"/>
        <w:rPr>
          <w:rFonts w:ascii="Times New Roman" w:hAnsi="Times New Roman" w:cs="Times New Roman"/>
          <w:b/>
        </w:rPr>
      </w:pPr>
    </w:p>
    <w:p w:rsidR="00EC70CB" w:rsidRDefault="00EC70CB" w:rsidP="008E2F19">
      <w:pPr>
        <w:jc w:val="center"/>
        <w:rPr>
          <w:rFonts w:ascii="Times New Roman" w:hAnsi="Times New Roman" w:cs="Times New Roman"/>
          <w:b/>
        </w:rPr>
      </w:pPr>
    </w:p>
    <w:p w:rsidR="00377993" w:rsidRDefault="00377993" w:rsidP="008E2F19">
      <w:pPr>
        <w:jc w:val="center"/>
        <w:rPr>
          <w:rFonts w:ascii="Times New Roman" w:hAnsi="Times New Roman" w:cs="Times New Roman"/>
          <w:b/>
        </w:rPr>
      </w:pPr>
    </w:p>
    <w:p w:rsidR="00FF61A6" w:rsidRPr="00EC70CB" w:rsidRDefault="00D3152D" w:rsidP="0059334F">
      <w:pPr>
        <w:ind w:left="2880" w:firstLine="720"/>
        <w:rPr>
          <w:rFonts w:ascii="Times New Roman" w:hAnsi="Times New Roman" w:cs="Times New Roman"/>
          <w:b/>
          <w:sz w:val="28"/>
          <w:szCs w:val="28"/>
        </w:rPr>
      </w:pPr>
      <w:r w:rsidRPr="00EC70CB">
        <w:rPr>
          <w:rFonts w:ascii="Times New Roman" w:hAnsi="Times New Roman" w:cs="Times New Roman"/>
          <w:b/>
          <w:sz w:val="28"/>
          <w:szCs w:val="28"/>
        </w:rPr>
        <w:lastRenderedPageBreak/>
        <w:t>Forward</w:t>
      </w:r>
      <w:bookmarkEnd w:id="1"/>
    </w:p>
    <w:p w:rsidR="000D2589" w:rsidRPr="000D2589" w:rsidRDefault="000D2589" w:rsidP="00886F73">
      <w:pPr>
        <w:spacing w:after="0"/>
      </w:pPr>
    </w:p>
    <w:p w:rsidR="00B517DE" w:rsidRPr="00B517DE" w:rsidRDefault="007A1C9A" w:rsidP="00B517DE">
      <w:pPr>
        <w:rPr>
          <w:rFonts w:ascii="Times New Roman" w:hAnsi="Times New Roman" w:cs="Times New Roman"/>
          <w:sz w:val="24"/>
          <w:szCs w:val="24"/>
        </w:rPr>
      </w:pPr>
      <w:r>
        <w:rPr>
          <w:rFonts w:ascii="Times New Roman" w:hAnsi="Times New Roman" w:cs="Times New Roman"/>
          <w:sz w:val="24"/>
          <w:szCs w:val="24"/>
        </w:rPr>
        <w:t>In early August 2012,</w:t>
      </w:r>
      <w:r w:rsidR="00D3152D" w:rsidRPr="00B517DE">
        <w:rPr>
          <w:rFonts w:ascii="Times New Roman" w:hAnsi="Times New Roman" w:cs="Times New Roman"/>
          <w:sz w:val="24"/>
          <w:szCs w:val="24"/>
        </w:rPr>
        <w:t xml:space="preserve"> the Electoral Commissioner called for a joint independent review </w:t>
      </w:r>
      <w:r>
        <w:rPr>
          <w:rFonts w:ascii="Times New Roman" w:hAnsi="Times New Roman" w:cs="Times New Roman"/>
          <w:sz w:val="24"/>
          <w:szCs w:val="24"/>
        </w:rPr>
        <w:t xml:space="preserve">of the Australian Electoral Commission’s (the Commission) disclosure compliance function.  The review was to be conducted </w:t>
      </w:r>
      <w:r w:rsidR="00D3152D" w:rsidRPr="00B517DE">
        <w:rPr>
          <w:rFonts w:ascii="Times New Roman" w:hAnsi="Times New Roman" w:cs="Times New Roman"/>
          <w:sz w:val="24"/>
          <w:szCs w:val="24"/>
        </w:rPr>
        <w:t>by Ron McLeod AM</w:t>
      </w:r>
      <w:r w:rsidR="004D0F05" w:rsidRPr="00B517DE">
        <w:rPr>
          <w:rFonts w:ascii="Times New Roman" w:hAnsi="Times New Roman" w:cs="Times New Roman"/>
          <w:sz w:val="24"/>
          <w:szCs w:val="24"/>
        </w:rPr>
        <w:t>,</w:t>
      </w:r>
      <w:r w:rsidR="00D3152D" w:rsidRPr="00B517DE">
        <w:rPr>
          <w:rFonts w:ascii="Times New Roman" w:hAnsi="Times New Roman" w:cs="Times New Roman"/>
          <w:sz w:val="24"/>
          <w:szCs w:val="24"/>
        </w:rPr>
        <w:t xml:space="preserve"> a former Commonwealth Ombudsman</w:t>
      </w:r>
      <w:r w:rsidR="004D0F05" w:rsidRPr="00B517DE">
        <w:rPr>
          <w:rFonts w:ascii="Times New Roman" w:hAnsi="Times New Roman" w:cs="Times New Roman"/>
          <w:sz w:val="24"/>
          <w:szCs w:val="24"/>
        </w:rPr>
        <w:t>,</w:t>
      </w:r>
      <w:r w:rsidR="00D3152D" w:rsidRPr="00B517DE">
        <w:rPr>
          <w:rFonts w:ascii="Times New Roman" w:hAnsi="Times New Roman" w:cs="Times New Roman"/>
          <w:sz w:val="24"/>
          <w:szCs w:val="24"/>
        </w:rPr>
        <w:t xml:space="preserve"> as the Principal Reviewer</w:t>
      </w:r>
      <w:r w:rsidR="00B44468">
        <w:rPr>
          <w:rFonts w:ascii="Times New Roman" w:hAnsi="Times New Roman" w:cs="Times New Roman"/>
          <w:sz w:val="24"/>
          <w:szCs w:val="24"/>
        </w:rPr>
        <w:t>.  Mr McLeod was to be</w:t>
      </w:r>
      <w:r w:rsidR="00D3152D" w:rsidRPr="00B517DE">
        <w:rPr>
          <w:rFonts w:ascii="Times New Roman" w:hAnsi="Times New Roman" w:cs="Times New Roman"/>
          <w:sz w:val="24"/>
          <w:szCs w:val="24"/>
        </w:rPr>
        <w:t xml:space="preserve"> assisted by PricewaterhouseCoopers (PwC), a financial management consulting company.</w:t>
      </w:r>
    </w:p>
    <w:p w:rsidR="00B517DE" w:rsidRPr="00B517DE" w:rsidRDefault="00D3152D" w:rsidP="00B517DE">
      <w:pPr>
        <w:rPr>
          <w:rFonts w:ascii="Times New Roman" w:hAnsi="Times New Roman" w:cs="Times New Roman"/>
          <w:sz w:val="24"/>
          <w:szCs w:val="24"/>
        </w:rPr>
      </w:pPr>
      <w:r w:rsidRPr="00B517DE">
        <w:rPr>
          <w:rFonts w:ascii="Times New Roman" w:hAnsi="Times New Roman" w:cs="Times New Roman"/>
          <w:sz w:val="24"/>
          <w:szCs w:val="24"/>
        </w:rPr>
        <w:t xml:space="preserve">Mr McLeod’s role was to consider the manner in which the </w:t>
      </w:r>
      <w:r w:rsidR="00B93074" w:rsidRPr="00B517DE">
        <w:rPr>
          <w:rFonts w:ascii="Times New Roman" w:hAnsi="Times New Roman" w:cs="Times New Roman"/>
          <w:sz w:val="24"/>
          <w:szCs w:val="24"/>
        </w:rPr>
        <w:t>Australian Electoral Commission (the Commission)</w:t>
      </w:r>
      <w:r w:rsidRPr="00B517DE">
        <w:rPr>
          <w:rFonts w:ascii="Times New Roman" w:hAnsi="Times New Roman" w:cs="Times New Roman"/>
          <w:sz w:val="24"/>
          <w:szCs w:val="24"/>
        </w:rPr>
        <w:t xml:space="preserve"> had managed the compliance aspects of the financial disclosure provisions of the </w:t>
      </w:r>
      <w:r w:rsidR="00B93074" w:rsidRPr="00B517DE">
        <w:rPr>
          <w:rFonts w:ascii="Times New Roman" w:hAnsi="Times New Roman" w:cs="Times New Roman"/>
          <w:i/>
          <w:sz w:val="24"/>
          <w:szCs w:val="24"/>
        </w:rPr>
        <w:t xml:space="preserve">Commonwealth Electoral Act 1918 </w:t>
      </w:r>
      <w:r w:rsidR="00B93074" w:rsidRPr="00B517DE">
        <w:rPr>
          <w:rFonts w:ascii="Times New Roman" w:hAnsi="Times New Roman" w:cs="Times New Roman"/>
          <w:sz w:val="24"/>
          <w:szCs w:val="24"/>
        </w:rPr>
        <w:t>(Electoral Act)</w:t>
      </w:r>
      <w:r w:rsidRPr="00B517DE">
        <w:rPr>
          <w:rFonts w:ascii="Times New Roman" w:hAnsi="Times New Roman" w:cs="Times New Roman"/>
          <w:sz w:val="24"/>
          <w:szCs w:val="24"/>
        </w:rPr>
        <w:t xml:space="preserve"> assisted by the conduct of a performance audit of the function</w:t>
      </w:r>
      <w:r w:rsidR="00250CCA">
        <w:rPr>
          <w:rFonts w:ascii="Times New Roman" w:hAnsi="Times New Roman" w:cs="Times New Roman"/>
          <w:sz w:val="24"/>
          <w:szCs w:val="24"/>
        </w:rPr>
        <w:t xml:space="preserve"> </w:t>
      </w:r>
      <w:r w:rsidR="00250CCA" w:rsidRPr="00B517DE">
        <w:rPr>
          <w:rFonts w:ascii="Times New Roman" w:hAnsi="Times New Roman" w:cs="Times New Roman"/>
          <w:sz w:val="24"/>
          <w:szCs w:val="24"/>
        </w:rPr>
        <w:t>by PwC</w:t>
      </w:r>
      <w:r w:rsidRPr="00B517DE">
        <w:rPr>
          <w:rFonts w:ascii="Times New Roman" w:hAnsi="Times New Roman" w:cs="Times New Roman"/>
          <w:sz w:val="24"/>
          <w:szCs w:val="24"/>
        </w:rPr>
        <w:t>.</w:t>
      </w:r>
    </w:p>
    <w:p w:rsidR="00B517DE" w:rsidRPr="00B517DE" w:rsidRDefault="00B93074" w:rsidP="00B517DE">
      <w:pPr>
        <w:rPr>
          <w:rFonts w:ascii="Times New Roman" w:hAnsi="Times New Roman" w:cs="Times New Roman"/>
          <w:sz w:val="24"/>
          <w:szCs w:val="24"/>
        </w:rPr>
      </w:pPr>
      <w:r w:rsidRPr="00B517DE">
        <w:rPr>
          <w:rFonts w:ascii="Times New Roman" w:hAnsi="Times New Roman" w:cs="Times New Roman"/>
          <w:sz w:val="24"/>
          <w:szCs w:val="24"/>
        </w:rPr>
        <w:t>Due to the</w:t>
      </w:r>
      <w:r w:rsidR="00D3152D" w:rsidRPr="00B517DE">
        <w:rPr>
          <w:rFonts w:ascii="Times New Roman" w:hAnsi="Times New Roman" w:cs="Times New Roman"/>
          <w:sz w:val="24"/>
          <w:szCs w:val="24"/>
        </w:rPr>
        <w:t xml:space="preserve"> overlap </w:t>
      </w:r>
      <w:r w:rsidRPr="00B517DE">
        <w:rPr>
          <w:rFonts w:ascii="Times New Roman" w:hAnsi="Times New Roman" w:cs="Times New Roman"/>
          <w:sz w:val="24"/>
          <w:szCs w:val="24"/>
        </w:rPr>
        <w:t>between</w:t>
      </w:r>
      <w:r w:rsidR="00D3152D" w:rsidRPr="00B517DE">
        <w:rPr>
          <w:rFonts w:ascii="Times New Roman" w:hAnsi="Times New Roman" w:cs="Times New Roman"/>
          <w:sz w:val="24"/>
          <w:szCs w:val="24"/>
        </w:rPr>
        <w:t xml:space="preserve"> the terms of reference </w:t>
      </w:r>
      <w:r w:rsidRPr="00B517DE">
        <w:rPr>
          <w:rFonts w:ascii="Times New Roman" w:hAnsi="Times New Roman" w:cs="Times New Roman"/>
          <w:sz w:val="24"/>
          <w:szCs w:val="24"/>
        </w:rPr>
        <w:t xml:space="preserve">for </w:t>
      </w:r>
      <w:r w:rsidR="00D3152D" w:rsidRPr="00B517DE">
        <w:rPr>
          <w:rFonts w:ascii="Times New Roman" w:hAnsi="Times New Roman" w:cs="Times New Roman"/>
          <w:sz w:val="24"/>
          <w:szCs w:val="24"/>
        </w:rPr>
        <w:t xml:space="preserve">each exercise </w:t>
      </w:r>
      <w:r w:rsidR="007A1C9A">
        <w:rPr>
          <w:rFonts w:ascii="Times New Roman" w:hAnsi="Times New Roman" w:cs="Times New Roman"/>
          <w:sz w:val="24"/>
          <w:szCs w:val="24"/>
        </w:rPr>
        <w:t xml:space="preserve">(included below) </w:t>
      </w:r>
      <w:r w:rsidR="00D3152D" w:rsidRPr="00B517DE">
        <w:rPr>
          <w:rFonts w:ascii="Times New Roman" w:hAnsi="Times New Roman" w:cs="Times New Roman"/>
          <w:sz w:val="24"/>
          <w:szCs w:val="24"/>
        </w:rPr>
        <w:t>it was necessary and mutually agreed that the two reviews would proceed independent of the other but within an agreed framework of close cooperation and mutual sharing of information. The participants met on a weekly basis to discuss directions, progress and each other’s focus of attention for the coming week.</w:t>
      </w:r>
    </w:p>
    <w:p w:rsidR="00B517DE" w:rsidRPr="00B517DE" w:rsidRDefault="00D3152D" w:rsidP="00B517DE">
      <w:pPr>
        <w:rPr>
          <w:rFonts w:ascii="Times New Roman" w:hAnsi="Times New Roman" w:cs="Times New Roman"/>
          <w:sz w:val="24"/>
          <w:szCs w:val="24"/>
        </w:rPr>
      </w:pPr>
      <w:r w:rsidRPr="00B517DE">
        <w:rPr>
          <w:rFonts w:ascii="Times New Roman" w:hAnsi="Times New Roman" w:cs="Times New Roman"/>
          <w:sz w:val="24"/>
          <w:szCs w:val="24"/>
        </w:rPr>
        <w:t>Informal contact was maintained between meetings on a needs basis.</w:t>
      </w:r>
    </w:p>
    <w:p w:rsidR="00B517DE" w:rsidRPr="00B517DE" w:rsidRDefault="00D3152D" w:rsidP="00B517DE">
      <w:pPr>
        <w:rPr>
          <w:rFonts w:ascii="Times New Roman" w:hAnsi="Times New Roman" w:cs="Times New Roman"/>
          <w:sz w:val="24"/>
          <w:szCs w:val="24"/>
        </w:rPr>
      </w:pPr>
      <w:r w:rsidRPr="00B517DE">
        <w:rPr>
          <w:rFonts w:ascii="Times New Roman" w:hAnsi="Times New Roman" w:cs="Times New Roman"/>
          <w:sz w:val="24"/>
          <w:szCs w:val="24"/>
        </w:rPr>
        <w:t xml:space="preserve">Each party attended formal presentations by Commission </w:t>
      </w:r>
      <w:r w:rsidR="007A1C9A">
        <w:rPr>
          <w:rFonts w:ascii="Times New Roman" w:hAnsi="Times New Roman" w:cs="Times New Roman"/>
          <w:sz w:val="24"/>
          <w:szCs w:val="24"/>
        </w:rPr>
        <w:t>staff</w:t>
      </w:r>
      <w:r w:rsidRPr="00B517DE">
        <w:rPr>
          <w:rFonts w:ascii="Times New Roman" w:hAnsi="Times New Roman" w:cs="Times New Roman"/>
          <w:sz w:val="24"/>
          <w:szCs w:val="24"/>
        </w:rPr>
        <w:t xml:space="preserve"> and a workshop open to all staff of the areas covered by the review.  Detailed discussions between the reviewers and particular staff members were generally on an individual basis as the interests of both reviews were not identical.</w:t>
      </w:r>
    </w:p>
    <w:p w:rsidR="00B517DE" w:rsidRPr="00B517DE" w:rsidRDefault="00D3152D" w:rsidP="00B517DE">
      <w:pPr>
        <w:rPr>
          <w:rFonts w:ascii="Times New Roman" w:hAnsi="Times New Roman" w:cs="Times New Roman"/>
          <w:sz w:val="24"/>
          <w:szCs w:val="24"/>
        </w:rPr>
      </w:pPr>
      <w:r w:rsidRPr="00B517DE">
        <w:rPr>
          <w:rFonts w:ascii="Times New Roman" w:hAnsi="Times New Roman" w:cs="Times New Roman"/>
          <w:sz w:val="24"/>
          <w:szCs w:val="24"/>
        </w:rPr>
        <w:t xml:space="preserve">Mr McLeod’s review concentrated on the higher level or broader aspects fundamental to the effective administration of the Commission’s legislative responsibilities.  It sought to provide overarching guidance in relation to the way in which the disclosure compliance function could better operate to achieve improved outcomes.  The PwC review was more technical in character and was focussed on a range of detailed work level issues.  </w:t>
      </w:r>
    </w:p>
    <w:p w:rsidR="00B517DE" w:rsidRPr="00B517DE" w:rsidRDefault="00CF27CF" w:rsidP="00B517DE">
      <w:pPr>
        <w:rPr>
          <w:rFonts w:ascii="Times New Roman" w:hAnsi="Times New Roman" w:cs="Times New Roman"/>
          <w:sz w:val="24"/>
          <w:szCs w:val="24"/>
        </w:rPr>
      </w:pPr>
      <w:r>
        <w:rPr>
          <w:rFonts w:ascii="Times New Roman" w:hAnsi="Times New Roman" w:cs="Times New Roman"/>
          <w:sz w:val="24"/>
          <w:szCs w:val="24"/>
        </w:rPr>
        <w:t>By</w:t>
      </w:r>
      <w:r w:rsidR="00D3152D" w:rsidRPr="00B517DE">
        <w:rPr>
          <w:rFonts w:ascii="Times New Roman" w:hAnsi="Times New Roman" w:cs="Times New Roman"/>
          <w:sz w:val="24"/>
          <w:szCs w:val="24"/>
        </w:rPr>
        <w:t xml:space="preserve"> sharing information the two reviews proceeded in tandem in the knowledge of the considerations and outcomes that emerged from each other’s reviews. In this way both received the benefit of the other’s endeavours and each was able to proceed with the confidence that they were following similar paths albeit with different, though related, agendas.</w:t>
      </w:r>
    </w:p>
    <w:p w:rsidR="00D3152D" w:rsidRPr="00B517DE" w:rsidRDefault="00D3152D" w:rsidP="00B517DE">
      <w:pPr>
        <w:rPr>
          <w:rFonts w:ascii="Times New Roman" w:hAnsi="Times New Roman" w:cs="Times New Roman"/>
          <w:sz w:val="24"/>
          <w:szCs w:val="24"/>
        </w:rPr>
      </w:pPr>
      <w:r w:rsidRPr="00B517DE">
        <w:rPr>
          <w:rFonts w:ascii="Times New Roman" w:hAnsi="Times New Roman" w:cs="Times New Roman"/>
          <w:sz w:val="24"/>
          <w:szCs w:val="24"/>
        </w:rPr>
        <w:t xml:space="preserve">In the ultimate the conclusions were in a similar direction and provided mutual reinforcement.  No glaring discrepancies emerged that </w:t>
      </w:r>
      <w:r w:rsidR="00CF27CF">
        <w:rPr>
          <w:rFonts w:ascii="Times New Roman" w:hAnsi="Times New Roman" w:cs="Times New Roman"/>
          <w:sz w:val="24"/>
          <w:szCs w:val="24"/>
        </w:rPr>
        <w:t>might</w:t>
      </w:r>
      <w:r w:rsidRPr="00B517DE">
        <w:rPr>
          <w:rFonts w:ascii="Times New Roman" w:hAnsi="Times New Roman" w:cs="Times New Roman"/>
          <w:sz w:val="24"/>
          <w:szCs w:val="24"/>
        </w:rPr>
        <w:t xml:space="preserve"> otherwise have presented complications for the Commission. </w:t>
      </w:r>
    </w:p>
    <w:p w:rsidR="00B517DE" w:rsidRPr="007A1C9A" w:rsidRDefault="00D3152D" w:rsidP="007A1C9A">
      <w:pPr>
        <w:rPr>
          <w:rFonts w:ascii="Times New Roman" w:hAnsi="Times New Roman" w:cs="Times New Roman"/>
          <w:sz w:val="24"/>
          <w:szCs w:val="24"/>
        </w:rPr>
      </w:pPr>
      <w:r w:rsidRPr="00B517DE">
        <w:rPr>
          <w:rFonts w:ascii="Times New Roman" w:hAnsi="Times New Roman" w:cs="Times New Roman"/>
          <w:sz w:val="24"/>
          <w:szCs w:val="24"/>
        </w:rPr>
        <w:t>The two reports can be read independently and the individual authors accept r</w:t>
      </w:r>
      <w:r w:rsidR="00760BE3">
        <w:rPr>
          <w:rFonts w:ascii="Times New Roman" w:hAnsi="Times New Roman" w:cs="Times New Roman"/>
          <w:sz w:val="24"/>
          <w:szCs w:val="24"/>
        </w:rPr>
        <w:t>esponsibility for their own report</w:t>
      </w:r>
      <w:r w:rsidRPr="00B517DE">
        <w:rPr>
          <w:rFonts w:ascii="Times New Roman" w:hAnsi="Times New Roman" w:cs="Times New Roman"/>
          <w:sz w:val="24"/>
          <w:szCs w:val="24"/>
        </w:rPr>
        <w:t xml:space="preserve">s. However, for the convenience of the reader the two reports are </w:t>
      </w:r>
      <w:r w:rsidR="007A1C9A">
        <w:rPr>
          <w:rFonts w:ascii="Times New Roman" w:hAnsi="Times New Roman" w:cs="Times New Roman"/>
          <w:sz w:val="24"/>
          <w:szCs w:val="24"/>
        </w:rPr>
        <w:t xml:space="preserve">presented together </w:t>
      </w:r>
      <w:r w:rsidRPr="00B517DE">
        <w:rPr>
          <w:rFonts w:ascii="Times New Roman" w:hAnsi="Times New Roman" w:cs="Times New Roman"/>
          <w:sz w:val="24"/>
          <w:szCs w:val="24"/>
        </w:rPr>
        <w:t>and can be read as a single volume.</w:t>
      </w:r>
    </w:p>
    <w:p w:rsidR="00B517DE" w:rsidRPr="00B517DE" w:rsidRDefault="00D3152D" w:rsidP="00B517DE">
      <w:pPr>
        <w:rPr>
          <w:rFonts w:ascii="Times New Roman" w:hAnsi="Times New Roman" w:cs="Times New Roman"/>
          <w:sz w:val="24"/>
          <w:szCs w:val="24"/>
        </w:rPr>
      </w:pPr>
      <w:r w:rsidRPr="00B517DE">
        <w:rPr>
          <w:rFonts w:ascii="Times New Roman" w:hAnsi="Times New Roman" w:cs="Times New Roman"/>
          <w:sz w:val="24"/>
          <w:szCs w:val="24"/>
        </w:rPr>
        <w:lastRenderedPageBreak/>
        <w:t>Readers will note some repetiti</w:t>
      </w:r>
      <w:r w:rsidR="002A42A8">
        <w:rPr>
          <w:rFonts w:ascii="Times New Roman" w:hAnsi="Times New Roman" w:cs="Times New Roman"/>
          <w:sz w:val="24"/>
          <w:szCs w:val="24"/>
        </w:rPr>
        <w:t xml:space="preserve">on between the parts that comprise </w:t>
      </w:r>
      <w:r w:rsidRPr="00B517DE">
        <w:rPr>
          <w:rFonts w:ascii="Times New Roman" w:hAnsi="Times New Roman" w:cs="Times New Roman"/>
          <w:sz w:val="24"/>
          <w:szCs w:val="24"/>
        </w:rPr>
        <w:t xml:space="preserve">the </w:t>
      </w:r>
      <w:r w:rsidR="002A42A8">
        <w:rPr>
          <w:rFonts w:ascii="Times New Roman" w:hAnsi="Times New Roman" w:cs="Times New Roman"/>
          <w:sz w:val="24"/>
          <w:szCs w:val="24"/>
        </w:rPr>
        <w:t xml:space="preserve">full </w:t>
      </w:r>
      <w:r w:rsidRPr="00B517DE">
        <w:rPr>
          <w:rFonts w:ascii="Times New Roman" w:hAnsi="Times New Roman" w:cs="Times New Roman"/>
          <w:sz w:val="24"/>
          <w:szCs w:val="24"/>
        </w:rPr>
        <w:t xml:space="preserve">report.  This is due to the dual nature of the authorship and </w:t>
      </w:r>
      <w:r w:rsidR="007A1C9A">
        <w:rPr>
          <w:rFonts w:ascii="Times New Roman" w:hAnsi="Times New Roman" w:cs="Times New Roman"/>
          <w:sz w:val="24"/>
          <w:szCs w:val="24"/>
        </w:rPr>
        <w:t xml:space="preserve">assists in enhancing </w:t>
      </w:r>
      <w:r w:rsidRPr="00B517DE">
        <w:rPr>
          <w:rFonts w:ascii="Times New Roman" w:hAnsi="Times New Roman" w:cs="Times New Roman"/>
          <w:sz w:val="24"/>
          <w:szCs w:val="24"/>
        </w:rPr>
        <w:t xml:space="preserve">the readability of the </w:t>
      </w:r>
      <w:r w:rsidR="007A1C9A">
        <w:rPr>
          <w:rFonts w:ascii="Times New Roman" w:hAnsi="Times New Roman" w:cs="Times New Roman"/>
          <w:sz w:val="24"/>
          <w:szCs w:val="24"/>
        </w:rPr>
        <w:t>P</w:t>
      </w:r>
      <w:r w:rsidR="002A42A8">
        <w:rPr>
          <w:rFonts w:ascii="Times New Roman" w:hAnsi="Times New Roman" w:cs="Times New Roman"/>
          <w:sz w:val="24"/>
          <w:szCs w:val="24"/>
        </w:rPr>
        <w:t xml:space="preserve">arts </w:t>
      </w:r>
      <w:r w:rsidRPr="00B517DE">
        <w:rPr>
          <w:rFonts w:ascii="Times New Roman" w:hAnsi="Times New Roman" w:cs="Times New Roman"/>
          <w:sz w:val="24"/>
          <w:szCs w:val="24"/>
        </w:rPr>
        <w:t>that cover aspects of the report proper at a more detailed level.</w:t>
      </w:r>
    </w:p>
    <w:p w:rsidR="00D3152D" w:rsidRDefault="00D3152D" w:rsidP="00B517DE">
      <w:pPr>
        <w:rPr>
          <w:rFonts w:ascii="Times New Roman" w:hAnsi="Times New Roman" w:cs="Times New Roman"/>
          <w:sz w:val="24"/>
          <w:szCs w:val="24"/>
        </w:rPr>
      </w:pPr>
      <w:r w:rsidRPr="00B517DE">
        <w:rPr>
          <w:rFonts w:ascii="Times New Roman" w:hAnsi="Times New Roman" w:cs="Times New Roman"/>
          <w:sz w:val="24"/>
          <w:szCs w:val="24"/>
        </w:rPr>
        <w:t>Terms of re</w:t>
      </w:r>
      <w:r w:rsidR="005E2AC0">
        <w:rPr>
          <w:rFonts w:ascii="Times New Roman" w:hAnsi="Times New Roman" w:cs="Times New Roman"/>
          <w:sz w:val="24"/>
          <w:szCs w:val="24"/>
        </w:rPr>
        <w:t xml:space="preserve">ference for the two reviews are </w:t>
      </w:r>
      <w:r w:rsidR="00F72092">
        <w:rPr>
          <w:rFonts w:ascii="Times New Roman" w:hAnsi="Times New Roman" w:cs="Times New Roman"/>
          <w:sz w:val="24"/>
          <w:szCs w:val="24"/>
        </w:rPr>
        <w:t xml:space="preserve">set out </w:t>
      </w:r>
      <w:r w:rsidR="005E2AC0">
        <w:rPr>
          <w:rFonts w:ascii="Times New Roman" w:hAnsi="Times New Roman" w:cs="Times New Roman"/>
          <w:sz w:val="24"/>
          <w:szCs w:val="24"/>
        </w:rPr>
        <w:t>below.</w:t>
      </w:r>
    </w:p>
    <w:p w:rsidR="005E2AC0" w:rsidRPr="00F72092" w:rsidRDefault="005E2AC0" w:rsidP="005E2AC0">
      <w:pPr>
        <w:rPr>
          <w:rFonts w:ascii="Times New Roman" w:hAnsi="Times New Roman" w:cs="Times New Roman"/>
          <w:i/>
          <w:sz w:val="24"/>
          <w:szCs w:val="24"/>
        </w:rPr>
      </w:pPr>
      <w:r w:rsidRPr="00F72092">
        <w:rPr>
          <w:rFonts w:ascii="Times New Roman" w:hAnsi="Times New Roman" w:cs="Times New Roman"/>
          <w:i/>
          <w:sz w:val="24"/>
          <w:szCs w:val="24"/>
        </w:rPr>
        <w:t xml:space="preserve">The AEC has engaged Mr Ron McLeod AM to: </w:t>
      </w:r>
    </w:p>
    <w:p w:rsidR="005E2AC0" w:rsidRPr="00F72092" w:rsidRDefault="005E2AC0" w:rsidP="00420F49">
      <w:pPr>
        <w:pStyle w:val="ListParagraph"/>
        <w:numPr>
          <w:ilvl w:val="0"/>
          <w:numId w:val="17"/>
        </w:numPr>
        <w:rPr>
          <w:rFonts w:ascii="Times New Roman" w:hAnsi="Times New Roman" w:cs="Times New Roman"/>
          <w:i/>
          <w:sz w:val="24"/>
          <w:szCs w:val="24"/>
        </w:rPr>
      </w:pPr>
      <w:r w:rsidRPr="00F72092">
        <w:rPr>
          <w:rFonts w:ascii="Times New Roman" w:hAnsi="Times New Roman" w:cs="Times New Roman"/>
          <w:i/>
          <w:sz w:val="24"/>
          <w:szCs w:val="24"/>
        </w:rPr>
        <w:t>Ascertain the nature and type of work required to fulfil the AEC’s statutory responsibilities in relation to monitoring and enforcing compliance by political parties, associated entities, donors and other third parties with the disclosure provisions in Part XX of the Electoral Act;</w:t>
      </w:r>
    </w:p>
    <w:p w:rsidR="005E2AC0" w:rsidRPr="00F72092" w:rsidRDefault="005E2AC0" w:rsidP="005E2AC0">
      <w:pPr>
        <w:pStyle w:val="ListParagraph"/>
        <w:rPr>
          <w:rFonts w:ascii="Times New Roman" w:hAnsi="Times New Roman" w:cs="Times New Roman"/>
          <w:i/>
          <w:sz w:val="24"/>
          <w:szCs w:val="24"/>
        </w:rPr>
      </w:pPr>
    </w:p>
    <w:p w:rsidR="005E2AC0" w:rsidRPr="00F72092" w:rsidRDefault="005E2AC0" w:rsidP="00420F49">
      <w:pPr>
        <w:pStyle w:val="ListParagraph"/>
        <w:numPr>
          <w:ilvl w:val="0"/>
          <w:numId w:val="17"/>
        </w:numPr>
        <w:rPr>
          <w:rFonts w:ascii="Times New Roman" w:hAnsi="Times New Roman" w:cs="Times New Roman"/>
          <w:i/>
          <w:sz w:val="24"/>
          <w:szCs w:val="24"/>
        </w:rPr>
      </w:pPr>
      <w:r w:rsidRPr="00F72092">
        <w:rPr>
          <w:rFonts w:ascii="Times New Roman" w:hAnsi="Times New Roman" w:cs="Times New Roman"/>
          <w:i/>
          <w:sz w:val="24"/>
          <w:szCs w:val="24"/>
        </w:rPr>
        <w:t xml:space="preserve">Taking into account the nature of the statutory responsibilities and the nature of the work required to fulfil these, provide advice to assist in determining the most effective and efficient way in which the AEC can monitor and enforce disclosure compliance under the Electoral Act, including:  </w:t>
      </w:r>
    </w:p>
    <w:p w:rsidR="005E2AC0" w:rsidRPr="00F72092" w:rsidRDefault="005E2AC0" w:rsidP="005E2AC0">
      <w:pPr>
        <w:pStyle w:val="ListParagraph"/>
        <w:rPr>
          <w:rFonts w:ascii="Times New Roman" w:hAnsi="Times New Roman" w:cs="Times New Roman"/>
          <w:i/>
          <w:sz w:val="24"/>
          <w:szCs w:val="24"/>
        </w:rPr>
      </w:pPr>
    </w:p>
    <w:p w:rsidR="005E2AC0" w:rsidRPr="00F72092" w:rsidRDefault="005E2AC0" w:rsidP="00420F49">
      <w:pPr>
        <w:pStyle w:val="ListParagraph"/>
        <w:numPr>
          <w:ilvl w:val="1"/>
          <w:numId w:val="17"/>
        </w:numPr>
        <w:rPr>
          <w:rFonts w:ascii="Times New Roman" w:hAnsi="Times New Roman" w:cs="Times New Roman"/>
          <w:i/>
          <w:sz w:val="24"/>
          <w:szCs w:val="24"/>
        </w:rPr>
      </w:pPr>
      <w:r w:rsidRPr="00F72092">
        <w:rPr>
          <w:rFonts w:ascii="Times New Roman" w:hAnsi="Times New Roman" w:cs="Times New Roman"/>
          <w:i/>
          <w:sz w:val="24"/>
          <w:szCs w:val="24"/>
        </w:rPr>
        <w:t>A consideration of the extent to which the AEC needs to further develop educative and informative measures to encourage voluntary compliance as opposed to ex-post-facto enforcement; and</w:t>
      </w:r>
    </w:p>
    <w:p w:rsidR="005E2AC0" w:rsidRPr="00F72092" w:rsidRDefault="005E2AC0" w:rsidP="005E2AC0">
      <w:pPr>
        <w:pStyle w:val="ListParagraph"/>
        <w:ind w:left="1440"/>
        <w:rPr>
          <w:rFonts w:ascii="Times New Roman" w:hAnsi="Times New Roman" w:cs="Times New Roman"/>
          <w:i/>
          <w:sz w:val="24"/>
          <w:szCs w:val="24"/>
        </w:rPr>
      </w:pPr>
    </w:p>
    <w:p w:rsidR="005E2AC0" w:rsidRPr="00F72092" w:rsidRDefault="005E2AC0" w:rsidP="00420F49">
      <w:pPr>
        <w:pStyle w:val="ListParagraph"/>
        <w:numPr>
          <w:ilvl w:val="1"/>
          <w:numId w:val="17"/>
        </w:numPr>
        <w:rPr>
          <w:rFonts w:ascii="Times New Roman" w:hAnsi="Times New Roman" w:cs="Times New Roman"/>
          <w:i/>
          <w:sz w:val="24"/>
          <w:szCs w:val="24"/>
        </w:rPr>
      </w:pPr>
      <w:r w:rsidRPr="00F72092">
        <w:rPr>
          <w:rFonts w:ascii="Times New Roman" w:hAnsi="Times New Roman" w:cs="Times New Roman"/>
          <w:i/>
          <w:sz w:val="24"/>
          <w:szCs w:val="24"/>
        </w:rPr>
        <w:t xml:space="preserve">A consideration of whether the AEC’s current organisational structure most appropriately accommodates the functions of administering election funding, financial disclosure and party registration.  </w:t>
      </w:r>
    </w:p>
    <w:p w:rsidR="005E2AC0" w:rsidRPr="00F72092" w:rsidRDefault="005E2AC0" w:rsidP="005E2AC0">
      <w:pPr>
        <w:rPr>
          <w:rFonts w:ascii="Times New Roman" w:hAnsi="Times New Roman" w:cs="Times New Roman"/>
          <w:i/>
          <w:sz w:val="24"/>
          <w:szCs w:val="24"/>
        </w:rPr>
      </w:pPr>
      <w:r w:rsidRPr="00F72092">
        <w:rPr>
          <w:rFonts w:ascii="Times New Roman" w:hAnsi="Times New Roman" w:cs="Times New Roman"/>
          <w:i/>
          <w:sz w:val="24"/>
          <w:szCs w:val="24"/>
        </w:rPr>
        <w:t>PricewaterhouseCoopers will provide a range of assistance in relation to Mr McLeod’s review, including the conduct of a performance audit of the AEC’s compliance review function, which will:</w:t>
      </w:r>
    </w:p>
    <w:p w:rsidR="005E2AC0" w:rsidRPr="00F72092" w:rsidRDefault="005E2AC0" w:rsidP="00420F49">
      <w:pPr>
        <w:pStyle w:val="ListParagraph"/>
        <w:numPr>
          <w:ilvl w:val="0"/>
          <w:numId w:val="17"/>
        </w:numPr>
        <w:rPr>
          <w:rFonts w:ascii="Times New Roman" w:hAnsi="Times New Roman" w:cs="Times New Roman"/>
          <w:i/>
          <w:sz w:val="24"/>
          <w:szCs w:val="24"/>
        </w:rPr>
      </w:pPr>
      <w:r w:rsidRPr="00F72092">
        <w:rPr>
          <w:rFonts w:ascii="Times New Roman" w:hAnsi="Times New Roman" w:cs="Times New Roman"/>
          <w:i/>
          <w:sz w:val="24"/>
          <w:szCs w:val="24"/>
        </w:rPr>
        <w:t>In light of the scope and nature of the statutory responsibility and the type of work deemed necessary to fulfil it, involve an assessment of the efficiency and effectiveness of the AEC’s conduct of compliance reviews, including:</w:t>
      </w:r>
    </w:p>
    <w:p w:rsidR="005E2AC0" w:rsidRPr="00F72092" w:rsidRDefault="005E2AC0" w:rsidP="005E2AC0">
      <w:pPr>
        <w:pStyle w:val="ListParagraph"/>
        <w:rPr>
          <w:rFonts w:ascii="Times New Roman" w:hAnsi="Times New Roman" w:cs="Times New Roman"/>
          <w:i/>
          <w:sz w:val="24"/>
          <w:szCs w:val="24"/>
        </w:rPr>
      </w:pPr>
    </w:p>
    <w:p w:rsidR="005E2AC0" w:rsidRPr="00F72092" w:rsidRDefault="005E2AC0" w:rsidP="00420F49">
      <w:pPr>
        <w:pStyle w:val="ListParagraph"/>
        <w:numPr>
          <w:ilvl w:val="1"/>
          <w:numId w:val="17"/>
        </w:numPr>
        <w:rPr>
          <w:rFonts w:ascii="Times New Roman" w:hAnsi="Times New Roman" w:cs="Times New Roman"/>
          <w:i/>
          <w:sz w:val="24"/>
          <w:szCs w:val="24"/>
        </w:rPr>
      </w:pPr>
      <w:r w:rsidRPr="00F72092">
        <w:rPr>
          <w:rFonts w:ascii="Times New Roman" w:hAnsi="Times New Roman" w:cs="Times New Roman"/>
          <w:i/>
          <w:sz w:val="24"/>
          <w:szCs w:val="24"/>
        </w:rPr>
        <w:t>A review and evaluation of internal policies and guidance material on Part XX of the Electoral Act regarding the compliance review function, such as:</w:t>
      </w:r>
    </w:p>
    <w:p w:rsidR="005E2AC0" w:rsidRPr="00F72092" w:rsidRDefault="005E2AC0" w:rsidP="005E2AC0">
      <w:pPr>
        <w:pStyle w:val="ListParagraph"/>
        <w:ind w:left="1440"/>
        <w:rPr>
          <w:rFonts w:ascii="Times New Roman" w:hAnsi="Times New Roman" w:cs="Times New Roman"/>
          <w:i/>
          <w:sz w:val="24"/>
          <w:szCs w:val="24"/>
        </w:rPr>
      </w:pPr>
    </w:p>
    <w:p w:rsidR="005E2AC0" w:rsidRPr="00F72092" w:rsidRDefault="005E2AC0" w:rsidP="00420F49">
      <w:pPr>
        <w:pStyle w:val="ListParagraph"/>
        <w:numPr>
          <w:ilvl w:val="2"/>
          <w:numId w:val="17"/>
        </w:numPr>
        <w:rPr>
          <w:rFonts w:ascii="Times New Roman" w:hAnsi="Times New Roman" w:cs="Times New Roman"/>
          <w:i/>
          <w:sz w:val="24"/>
          <w:szCs w:val="24"/>
        </w:rPr>
      </w:pPr>
      <w:r w:rsidRPr="00F72092">
        <w:rPr>
          <w:rFonts w:ascii="Times New Roman" w:hAnsi="Times New Roman" w:cs="Times New Roman"/>
          <w:i/>
          <w:sz w:val="24"/>
          <w:szCs w:val="24"/>
        </w:rPr>
        <w:t>Processes and procedures, including risk assessment frameworks which are used to guide decisions regarding work programs;</w:t>
      </w:r>
    </w:p>
    <w:p w:rsidR="005E2AC0" w:rsidRPr="00F72092" w:rsidRDefault="005E2AC0" w:rsidP="00420F49">
      <w:pPr>
        <w:pStyle w:val="ListParagraph"/>
        <w:numPr>
          <w:ilvl w:val="2"/>
          <w:numId w:val="17"/>
        </w:numPr>
        <w:rPr>
          <w:rFonts w:ascii="Times New Roman" w:hAnsi="Times New Roman" w:cs="Times New Roman"/>
          <w:i/>
          <w:sz w:val="24"/>
          <w:szCs w:val="24"/>
        </w:rPr>
      </w:pPr>
      <w:r w:rsidRPr="00F72092">
        <w:rPr>
          <w:rFonts w:ascii="Times New Roman" w:hAnsi="Times New Roman" w:cs="Times New Roman"/>
          <w:i/>
          <w:sz w:val="24"/>
          <w:szCs w:val="24"/>
        </w:rPr>
        <w:t>Audit methodologies, including the depth of testing performed; and</w:t>
      </w:r>
    </w:p>
    <w:p w:rsidR="005E2AC0" w:rsidRPr="00F72092" w:rsidRDefault="005E2AC0" w:rsidP="00420F49">
      <w:pPr>
        <w:pStyle w:val="ListParagraph"/>
        <w:numPr>
          <w:ilvl w:val="2"/>
          <w:numId w:val="17"/>
        </w:numPr>
        <w:rPr>
          <w:rFonts w:ascii="Times New Roman" w:hAnsi="Times New Roman" w:cs="Times New Roman"/>
          <w:i/>
          <w:sz w:val="24"/>
          <w:szCs w:val="24"/>
        </w:rPr>
      </w:pPr>
      <w:r w:rsidRPr="00F72092">
        <w:rPr>
          <w:rFonts w:ascii="Times New Roman" w:hAnsi="Times New Roman" w:cs="Times New Roman"/>
          <w:i/>
          <w:sz w:val="24"/>
          <w:szCs w:val="24"/>
        </w:rPr>
        <w:t>Past internal audit reports and recommendations.</w:t>
      </w:r>
    </w:p>
    <w:p w:rsidR="005E2AC0" w:rsidRPr="00F72092" w:rsidRDefault="005E2AC0" w:rsidP="005E2AC0">
      <w:pPr>
        <w:pStyle w:val="ListParagraph"/>
        <w:ind w:left="2160"/>
        <w:rPr>
          <w:rFonts w:ascii="Times New Roman" w:hAnsi="Times New Roman" w:cs="Times New Roman"/>
          <w:i/>
          <w:sz w:val="24"/>
          <w:szCs w:val="24"/>
        </w:rPr>
      </w:pPr>
    </w:p>
    <w:p w:rsidR="005E2AC0" w:rsidRPr="00F72092" w:rsidRDefault="005E2AC0" w:rsidP="00420F49">
      <w:pPr>
        <w:pStyle w:val="ListParagraph"/>
        <w:numPr>
          <w:ilvl w:val="1"/>
          <w:numId w:val="17"/>
        </w:numPr>
        <w:rPr>
          <w:rFonts w:ascii="Times New Roman" w:hAnsi="Times New Roman" w:cs="Times New Roman"/>
          <w:i/>
          <w:sz w:val="24"/>
          <w:szCs w:val="24"/>
        </w:rPr>
      </w:pPr>
      <w:r w:rsidRPr="00F72092">
        <w:rPr>
          <w:rFonts w:ascii="Times New Roman" w:hAnsi="Times New Roman" w:cs="Times New Roman"/>
          <w:i/>
          <w:sz w:val="24"/>
          <w:szCs w:val="24"/>
        </w:rPr>
        <w:t>An examination of the appropriateness of the scope and focus of compliance reviews; and</w:t>
      </w:r>
    </w:p>
    <w:p w:rsidR="005E2AC0" w:rsidRPr="00F72092" w:rsidRDefault="005E2AC0" w:rsidP="005E2AC0">
      <w:pPr>
        <w:pStyle w:val="ListParagraph"/>
        <w:ind w:left="1440"/>
        <w:rPr>
          <w:rFonts w:ascii="Times New Roman" w:hAnsi="Times New Roman" w:cs="Times New Roman"/>
          <w:i/>
          <w:sz w:val="24"/>
          <w:szCs w:val="24"/>
        </w:rPr>
      </w:pPr>
    </w:p>
    <w:p w:rsidR="005E2AC0" w:rsidRPr="00F72092" w:rsidRDefault="005E2AC0" w:rsidP="00420F49">
      <w:pPr>
        <w:pStyle w:val="ListParagraph"/>
        <w:numPr>
          <w:ilvl w:val="1"/>
          <w:numId w:val="17"/>
        </w:numPr>
        <w:rPr>
          <w:rFonts w:ascii="Times New Roman" w:hAnsi="Times New Roman" w:cs="Times New Roman"/>
          <w:i/>
          <w:sz w:val="24"/>
          <w:szCs w:val="24"/>
        </w:rPr>
      </w:pPr>
      <w:r w:rsidRPr="00F72092">
        <w:rPr>
          <w:rFonts w:ascii="Times New Roman" w:hAnsi="Times New Roman" w:cs="Times New Roman"/>
          <w:i/>
          <w:sz w:val="24"/>
          <w:szCs w:val="24"/>
        </w:rPr>
        <w:lastRenderedPageBreak/>
        <w:t xml:space="preserve">An examination of whether the current workforce model in relation to disclosure compliance is appropriate to achieve efficient and effective compliance review coverage, and how it can be improved. </w:t>
      </w:r>
    </w:p>
    <w:p w:rsidR="005E2AC0" w:rsidRPr="00F72092" w:rsidRDefault="005E2AC0" w:rsidP="005E2AC0">
      <w:pPr>
        <w:rPr>
          <w:rFonts w:ascii="Times New Roman" w:hAnsi="Times New Roman" w:cs="Times New Roman"/>
          <w:i/>
          <w:sz w:val="24"/>
          <w:szCs w:val="24"/>
        </w:rPr>
      </w:pPr>
      <w:r w:rsidRPr="00F72092">
        <w:rPr>
          <w:rFonts w:ascii="Times New Roman" w:hAnsi="Times New Roman" w:cs="Times New Roman"/>
          <w:i/>
          <w:sz w:val="24"/>
          <w:szCs w:val="24"/>
        </w:rPr>
        <w:t>The performance audit will be used to inform the broader review being conducted by Mr McLeod.</w:t>
      </w:r>
    </w:p>
    <w:p w:rsidR="007A1C9A" w:rsidRPr="00B517DE" w:rsidRDefault="007A1C9A" w:rsidP="007A1C9A">
      <w:pPr>
        <w:rPr>
          <w:rFonts w:ascii="Times New Roman" w:hAnsi="Times New Roman" w:cs="Times New Roman"/>
          <w:sz w:val="24"/>
          <w:szCs w:val="24"/>
        </w:rPr>
      </w:pPr>
      <w:r w:rsidRPr="00B517DE">
        <w:rPr>
          <w:rFonts w:ascii="Times New Roman" w:hAnsi="Times New Roman" w:cs="Times New Roman"/>
          <w:sz w:val="24"/>
          <w:szCs w:val="24"/>
        </w:rPr>
        <w:t>Each of us acknowledge the support we received from Commission staff and their willingness to assist.  Special mention is made of the contribution of Ms Christine Wickremasinghe whose knowledge and management capacity made a major contribution to the review.  She provided excellent support and advice to Mr McLeod and was an outstanding bridge between the two review groups and with Commission staff generally.</w:t>
      </w:r>
    </w:p>
    <w:p w:rsidR="005E2AC0" w:rsidRPr="00B517DE" w:rsidRDefault="005E2AC0" w:rsidP="00B517DE">
      <w:pPr>
        <w:rPr>
          <w:rFonts w:ascii="Times New Roman" w:hAnsi="Times New Roman" w:cs="Times New Roman"/>
          <w:sz w:val="24"/>
          <w:szCs w:val="24"/>
        </w:rPr>
      </w:pPr>
    </w:p>
    <w:p w:rsidR="00D3152D" w:rsidRDefault="00D3152D" w:rsidP="00D3152D">
      <w:pPr>
        <w:rPr>
          <w:rFonts w:ascii="Times New Roman" w:hAnsi="Times New Roman" w:cs="Times New Roman"/>
          <w:sz w:val="24"/>
          <w:szCs w:val="24"/>
        </w:rPr>
      </w:pPr>
    </w:p>
    <w:p w:rsidR="00D3152D" w:rsidRPr="00804CFC" w:rsidRDefault="00D3152D" w:rsidP="00D3152D">
      <w:pPr>
        <w:rPr>
          <w:rFonts w:ascii="Times New Roman" w:hAnsi="Times New Roman" w:cs="Times New Roman"/>
          <w:sz w:val="24"/>
          <w:szCs w:val="24"/>
        </w:rPr>
      </w:pPr>
    </w:p>
    <w:p w:rsidR="00D3152D" w:rsidRPr="00804CFC" w:rsidRDefault="00D3152D" w:rsidP="00D3152D">
      <w:pPr>
        <w:rPr>
          <w:rFonts w:ascii="Times New Roman" w:hAnsi="Times New Roman" w:cs="Times New Roman"/>
          <w:sz w:val="24"/>
          <w:szCs w:val="24"/>
        </w:rPr>
      </w:pPr>
      <w:r w:rsidRPr="00804CFC">
        <w:rPr>
          <w:rFonts w:ascii="Times New Roman" w:hAnsi="Times New Roman" w:cs="Times New Roman"/>
          <w:sz w:val="24"/>
          <w:szCs w:val="24"/>
        </w:rPr>
        <w:t>R N McLeod AM</w:t>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t>Shane Bellchambers</w:t>
      </w:r>
    </w:p>
    <w:p w:rsidR="00D3152D" w:rsidRPr="00804CFC" w:rsidRDefault="00D3152D" w:rsidP="00D3152D">
      <w:pPr>
        <w:rPr>
          <w:rFonts w:ascii="Times New Roman" w:hAnsi="Times New Roman" w:cs="Times New Roman"/>
          <w:sz w:val="24"/>
          <w:szCs w:val="24"/>
        </w:rPr>
      </w:pPr>
      <w:r w:rsidRPr="00804CFC">
        <w:rPr>
          <w:rFonts w:ascii="Times New Roman" w:hAnsi="Times New Roman" w:cs="Times New Roman"/>
          <w:sz w:val="24"/>
          <w:szCs w:val="24"/>
        </w:rPr>
        <w:t>Principal Reviewer</w:t>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r>
      <w:r w:rsidRPr="00804CFC">
        <w:rPr>
          <w:rFonts w:ascii="Times New Roman" w:hAnsi="Times New Roman" w:cs="Times New Roman"/>
          <w:sz w:val="24"/>
          <w:szCs w:val="24"/>
        </w:rPr>
        <w:tab/>
        <w:t>Partner PricewaterhouseCoopers</w:t>
      </w:r>
    </w:p>
    <w:p w:rsidR="00D3152D" w:rsidRPr="00804CFC" w:rsidRDefault="00D3152D" w:rsidP="00D3152D">
      <w:pPr>
        <w:rPr>
          <w:rFonts w:ascii="Times New Roman" w:hAnsi="Times New Roman" w:cs="Times New Roman"/>
          <w:sz w:val="24"/>
          <w:szCs w:val="24"/>
        </w:rPr>
      </w:pPr>
      <w:r w:rsidRPr="00804CFC">
        <w:rPr>
          <w:rFonts w:ascii="Times New Roman" w:hAnsi="Times New Roman" w:cs="Times New Roman"/>
          <w:sz w:val="24"/>
          <w:szCs w:val="24"/>
        </w:rPr>
        <w:t xml:space="preserve"> </w:t>
      </w:r>
    </w:p>
    <w:p w:rsidR="001E3E7B" w:rsidRDefault="001E3E7B"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D3152D" w:rsidRDefault="00D3152D" w:rsidP="001E3E7B">
      <w:pPr>
        <w:jc w:val="center"/>
        <w:rPr>
          <w:rFonts w:ascii="Times New Roman" w:hAnsi="Times New Roman" w:cs="Times New Roman"/>
          <w:b/>
          <w:sz w:val="24"/>
          <w:szCs w:val="24"/>
        </w:rPr>
      </w:pPr>
    </w:p>
    <w:p w:rsidR="00EC70CB" w:rsidRDefault="00EC70CB" w:rsidP="001E3E7B">
      <w:pPr>
        <w:jc w:val="center"/>
        <w:rPr>
          <w:rFonts w:ascii="Times New Roman" w:hAnsi="Times New Roman" w:cs="Times New Roman"/>
          <w:b/>
          <w:sz w:val="24"/>
          <w:szCs w:val="24"/>
        </w:rPr>
      </w:pPr>
    </w:p>
    <w:p w:rsidR="00FF61A6" w:rsidRDefault="00D3152D" w:rsidP="0059334F">
      <w:pPr>
        <w:pStyle w:val="Heading1"/>
        <w:ind w:left="2160" w:firstLine="720"/>
        <w:rPr>
          <w:rFonts w:ascii="Times New Roman" w:hAnsi="Times New Roman" w:cs="Times New Roman"/>
          <w:color w:val="auto"/>
        </w:rPr>
      </w:pPr>
      <w:bookmarkStart w:id="2" w:name="_Toc339540819"/>
      <w:r w:rsidRPr="00FF61A6">
        <w:rPr>
          <w:rFonts w:ascii="Times New Roman" w:hAnsi="Times New Roman" w:cs="Times New Roman"/>
          <w:color w:val="auto"/>
        </w:rPr>
        <w:lastRenderedPageBreak/>
        <w:t>Executive summary</w:t>
      </w:r>
      <w:bookmarkEnd w:id="2"/>
    </w:p>
    <w:p w:rsidR="000D2589" w:rsidRPr="000D2589" w:rsidRDefault="000D2589" w:rsidP="000D2589">
      <w:pPr>
        <w:spacing w:after="120"/>
      </w:pPr>
    </w:p>
    <w:p w:rsidR="00D3152D" w:rsidRPr="0066110A" w:rsidRDefault="00D3152D" w:rsidP="00D3152D">
      <w:pPr>
        <w:rPr>
          <w:rFonts w:ascii="Times New Roman" w:hAnsi="Times New Roman" w:cs="Times New Roman"/>
          <w:sz w:val="24"/>
          <w:szCs w:val="24"/>
        </w:rPr>
      </w:pPr>
      <w:r>
        <w:rPr>
          <w:rFonts w:ascii="Times New Roman" w:hAnsi="Times New Roman" w:cs="Times New Roman"/>
          <w:sz w:val="24"/>
          <w:szCs w:val="24"/>
        </w:rPr>
        <w:t xml:space="preserve">Under the </w:t>
      </w:r>
      <w:r w:rsidR="007A1C9A">
        <w:rPr>
          <w:rFonts w:ascii="Times New Roman" w:hAnsi="Times New Roman" w:cs="Times New Roman"/>
          <w:sz w:val="24"/>
          <w:szCs w:val="24"/>
        </w:rPr>
        <w:t>Electoral Act,</w:t>
      </w:r>
      <w:r>
        <w:rPr>
          <w:rFonts w:ascii="Times New Roman" w:hAnsi="Times New Roman" w:cs="Times New Roman"/>
          <w:sz w:val="24"/>
          <w:szCs w:val="24"/>
        </w:rPr>
        <w:t xml:space="preserve"> the </w:t>
      </w:r>
      <w:r w:rsidR="007A1C9A">
        <w:rPr>
          <w:rFonts w:ascii="Times New Roman" w:hAnsi="Times New Roman" w:cs="Times New Roman"/>
          <w:sz w:val="24"/>
          <w:szCs w:val="24"/>
        </w:rPr>
        <w:t>Commission</w:t>
      </w:r>
      <w:r w:rsidRPr="0066110A">
        <w:rPr>
          <w:rFonts w:ascii="Times New Roman" w:hAnsi="Times New Roman" w:cs="Times New Roman"/>
          <w:sz w:val="24"/>
          <w:szCs w:val="24"/>
        </w:rPr>
        <w:t xml:space="preserve"> is responsible for the administration of arrangements that involve substantial public funding of political pa</w:t>
      </w:r>
      <w:r w:rsidR="007A1C9A">
        <w:rPr>
          <w:rFonts w:ascii="Times New Roman" w:hAnsi="Times New Roman" w:cs="Times New Roman"/>
          <w:sz w:val="24"/>
          <w:szCs w:val="24"/>
        </w:rPr>
        <w:t>rties and individual candidates.  This responsibility is</w:t>
      </w:r>
      <w:r w:rsidRPr="0066110A">
        <w:rPr>
          <w:rFonts w:ascii="Times New Roman" w:hAnsi="Times New Roman" w:cs="Times New Roman"/>
          <w:sz w:val="24"/>
          <w:szCs w:val="24"/>
        </w:rPr>
        <w:t xml:space="preserve"> coupled with legal obligations imposed on political parties</w:t>
      </w:r>
      <w:r>
        <w:rPr>
          <w:rFonts w:ascii="Times New Roman" w:hAnsi="Times New Roman" w:cs="Times New Roman"/>
          <w:sz w:val="24"/>
          <w:szCs w:val="24"/>
        </w:rPr>
        <w:t>, associated entities, political donors and third parties incurring political expenditure (as well as</w:t>
      </w:r>
      <w:r w:rsidRPr="0066110A">
        <w:rPr>
          <w:rFonts w:ascii="Times New Roman" w:hAnsi="Times New Roman" w:cs="Times New Roman"/>
          <w:sz w:val="24"/>
          <w:szCs w:val="24"/>
        </w:rPr>
        <w:t xml:space="preserve"> candidates</w:t>
      </w:r>
      <w:r>
        <w:rPr>
          <w:rFonts w:ascii="Times New Roman" w:hAnsi="Times New Roman" w:cs="Times New Roman"/>
          <w:sz w:val="24"/>
          <w:szCs w:val="24"/>
        </w:rPr>
        <w:t xml:space="preserve"> and Senate groups following an election)</w:t>
      </w:r>
      <w:r w:rsidRPr="0066110A">
        <w:rPr>
          <w:rFonts w:ascii="Times New Roman" w:hAnsi="Times New Roman" w:cs="Times New Roman"/>
          <w:sz w:val="24"/>
          <w:szCs w:val="24"/>
        </w:rPr>
        <w:t xml:space="preserve"> to declare for public disclosure, </w:t>
      </w:r>
      <w:r>
        <w:rPr>
          <w:rFonts w:ascii="Times New Roman" w:hAnsi="Times New Roman" w:cs="Times New Roman"/>
          <w:sz w:val="24"/>
          <w:szCs w:val="24"/>
        </w:rPr>
        <w:t xml:space="preserve">certain details in relation to </w:t>
      </w:r>
      <w:r w:rsidRPr="0066110A">
        <w:rPr>
          <w:rFonts w:ascii="Times New Roman" w:hAnsi="Times New Roman" w:cs="Times New Roman"/>
          <w:sz w:val="24"/>
          <w:szCs w:val="24"/>
        </w:rPr>
        <w:t>monies received from all other sources</w:t>
      </w:r>
      <w:r w:rsidR="007A1C9A">
        <w:rPr>
          <w:rFonts w:ascii="Times New Roman" w:hAnsi="Times New Roman" w:cs="Times New Roman"/>
          <w:sz w:val="24"/>
          <w:szCs w:val="24"/>
        </w:rPr>
        <w:t xml:space="preserve"> on an annual basis</w:t>
      </w:r>
      <w:r w:rsidRPr="0066110A">
        <w:rPr>
          <w:rFonts w:ascii="Times New Roman" w:hAnsi="Times New Roman" w:cs="Times New Roman"/>
          <w:sz w:val="24"/>
          <w:szCs w:val="24"/>
        </w:rPr>
        <w:t xml:space="preserve">.  The Commissioner has enforcement powers designed to support </w:t>
      </w:r>
      <w:r>
        <w:rPr>
          <w:rFonts w:ascii="Times New Roman" w:hAnsi="Times New Roman" w:cs="Times New Roman"/>
          <w:sz w:val="24"/>
          <w:szCs w:val="24"/>
        </w:rPr>
        <w:t xml:space="preserve">compliance with the disclosure </w:t>
      </w:r>
      <w:r w:rsidRPr="0066110A">
        <w:rPr>
          <w:rFonts w:ascii="Times New Roman" w:hAnsi="Times New Roman" w:cs="Times New Roman"/>
          <w:sz w:val="24"/>
          <w:szCs w:val="24"/>
        </w:rPr>
        <w:t>obligations by all involved.</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In </w:t>
      </w:r>
      <w:r>
        <w:rPr>
          <w:rFonts w:ascii="Times New Roman" w:hAnsi="Times New Roman" w:cs="Times New Roman"/>
          <w:sz w:val="24"/>
          <w:szCs w:val="24"/>
        </w:rPr>
        <w:t>August</w:t>
      </w:r>
      <w:r w:rsidRPr="0066110A">
        <w:rPr>
          <w:rFonts w:ascii="Times New Roman" w:hAnsi="Times New Roman" w:cs="Times New Roman"/>
          <w:sz w:val="24"/>
          <w:szCs w:val="24"/>
        </w:rPr>
        <w:t xml:space="preserve"> 2012 the Electoral Commissioner </w:t>
      </w:r>
      <w:r w:rsidR="007A1C9A">
        <w:rPr>
          <w:rFonts w:ascii="Times New Roman" w:hAnsi="Times New Roman" w:cs="Times New Roman"/>
          <w:sz w:val="24"/>
          <w:szCs w:val="24"/>
        </w:rPr>
        <w:t>called for</w:t>
      </w:r>
      <w:r w:rsidRPr="0066110A">
        <w:rPr>
          <w:rFonts w:ascii="Times New Roman" w:hAnsi="Times New Roman" w:cs="Times New Roman"/>
          <w:sz w:val="24"/>
          <w:szCs w:val="24"/>
        </w:rPr>
        <w:t xml:space="preserve"> an independent review of the Commission’s compliance activities following some criti</w:t>
      </w:r>
      <w:r w:rsidR="007A1C9A">
        <w:rPr>
          <w:rFonts w:ascii="Times New Roman" w:hAnsi="Times New Roman" w:cs="Times New Roman"/>
          <w:sz w:val="24"/>
          <w:szCs w:val="24"/>
        </w:rPr>
        <w:t xml:space="preserve">cism in the Parliament </w:t>
      </w:r>
      <w:r w:rsidR="00A6156A">
        <w:rPr>
          <w:rFonts w:ascii="Times New Roman" w:hAnsi="Times New Roman" w:cs="Times New Roman"/>
          <w:sz w:val="24"/>
          <w:szCs w:val="24"/>
        </w:rPr>
        <w:t>regarding</w:t>
      </w:r>
      <w:r w:rsidR="007A1C9A">
        <w:rPr>
          <w:rFonts w:ascii="Times New Roman" w:hAnsi="Times New Roman" w:cs="Times New Roman"/>
          <w:sz w:val="24"/>
          <w:szCs w:val="24"/>
        </w:rPr>
        <w:t xml:space="preserve"> the</w:t>
      </w:r>
      <w:r w:rsidRPr="0066110A">
        <w:rPr>
          <w:rFonts w:ascii="Times New Roman" w:hAnsi="Times New Roman" w:cs="Times New Roman"/>
          <w:sz w:val="24"/>
          <w:szCs w:val="24"/>
        </w:rPr>
        <w:t xml:space="preserve"> compliance powers</w:t>
      </w:r>
      <w:r w:rsidR="007A1C9A">
        <w:rPr>
          <w:rFonts w:ascii="Times New Roman" w:hAnsi="Times New Roman" w:cs="Times New Roman"/>
          <w:sz w:val="24"/>
          <w:szCs w:val="24"/>
        </w:rPr>
        <w:t xml:space="preserve"> under Part XX</w:t>
      </w:r>
      <w:r w:rsidR="00A6156A">
        <w:rPr>
          <w:rFonts w:ascii="Times New Roman" w:hAnsi="Times New Roman" w:cs="Times New Roman"/>
          <w:sz w:val="24"/>
          <w:szCs w:val="24"/>
        </w:rPr>
        <w:t>, which led him to reflect on the importance of the perception of independence of the Commission</w:t>
      </w:r>
      <w:r w:rsidRPr="0066110A">
        <w:rPr>
          <w:rFonts w:ascii="Times New Roman" w:hAnsi="Times New Roman" w:cs="Times New Roman"/>
          <w:sz w:val="24"/>
          <w:szCs w:val="24"/>
        </w:rPr>
        <w:t>.</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Mr Ron McLeod AM, a former Commonwealth Ombudsman assisted by consultants from PricewaterhouseCoopers </w:t>
      </w:r>
      <w:r w:rsidR="00150284">
        <w:rPr>
          <w:rFonts w:ascii="Times New Roman" w:hAnsi="Times New Roman" w:cs="Times New Roman"/>
          <w:sz w:val="24"/>
          <w:szCs w:val="24"/>
        </w:rPr>
        <w:t xml:space="preserve">(PwC) </w:t>
      </w:r>
      <w:r w:rsidR="00DA07F1">
        <w:rPr>
          <w:rFonts w:ascii="Times New Roman" w:hAnsi="Times New Roman" w:cs="Times New Roman"/>
          <w:sz w:val="24"/>
          <w:szCs w:val="24"/>
        </w:rPr>
        <w:t>was</w:t>
      </w:r>
      <w:r w:rsidRPr="0066110A">
        <w:rPr>
          <w:rFonts w:ascii="Times New Roman" w:hAnsi="Times New Roman" w:cs="Times New Roman"/>
          <w:sz w:val="24"/>
          <w:szCs w:val="24"/>
        </w:rPr>
        <w:t xml:space="preserve"> appointed to undertake the review.</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While concentrating on the Commission’s compliance function the review also examined a closely related work area responsible for processing the funding disclosure returns that form the basis of the detailed information that is published by the Commission.  </w:t>
      </w:r>
    </w:p>
    <w:p w:rsidR="00D3152D" w:rsidRDefault="00D3152D" w:rsidP="00D3152D">
      <w:pPr>
        <w:rPr>
          <w:rFonts w:ascii="Times New Roman" w:hAnsi="Times New Roman" w:cs="Times New Roman"/>
          <w:sz w:val="24"/>
          <w:szCs w:val="24"/>
        </w:rPr>
      </w:pPr>
      <w:r>
        <w:rPr>
          <w:rFonts w:ascii="Times New Roman" w:hAnsi="Times New Roman" w:cs="Times New Roman"/>
          <w:sz w:val="24"/>
          <w:szCs w:val="24"/>
        </w:rPr>
        <w:t xml:space="preserve">The review acknowledges the efforts of the Commission’s compliance area to date to improve its work practices.  </w:t>
      </w:r>
      <w:r w:rsidR="00CF27CF">
        <w:rPr>
          <w:rFonts w:ascii="Times New Roman" w:hAnsi="Times New Roman" w:cs="Times New Roman"/>
          <w:sz w:val="24"/>
          <w:szCs w:val="24"/>
        </w:rPr>
        <w:t>However, t</w:t>
      </w:r>
      <w:r w:rsidRPr="0066110A">
        <w:rPr>
          <w:rFonts w:ascii="Times New Roman" w:hAnsi="Times New Roman" w:cs="Times New Roman"/>
          <w:sz w:val="24"/>
          <w:szCs w:val="24"/>
        </w:rPr>
        <w:t xml:space="preserve">he review concluded that while the </w:t>
      </w:r>
      <w:r>
        <w:rPr>
          <w:rFonts w:ascii="Times New Roman" w:hAnsi="Times New Roman" w:cs="Times New Roman"/>
          <w:sz w:val="24"/>
          <w:szCs w:val="24"/>
        </w:rPr>
        <w:t>Commission’s administration of the compliance function</w:t>
      </w:r>
      <w:r w:rsidRPr="0066110A">
        <w:rPr>
          <w:rFonts w:ascii="Times New Roman" w:hAnsi="Times New Roman" w:cs="Times New Roman"/>
          <w:sz w:val="24"/>
          <w:szCs w:val="24"/>
        </w:rPr>
        <w:t xml:space="preserve"> ha</w:t>
      </w:r>
      <w:r w:rsidR="00C079F0">
        <w:rPr>
          <w:rFonts w:ascii="Times New Roman" w:hAnsi="Times New Roman" w:cs="Times New Roman"/>
          <w:sz w:val="24"/>
          <w:szCs w:val="24"/>
        </w:rPr>
        <w:t>s</w:t>
      </w:r>
      <w:r w:rsidRPr="0066110A">
        <w:rPr>
          <w:rFonts w:ascii="Times New Roman" w:hAnsi="Times New Roman" w:cs="Times New Roman"/>
          <w:sz w:val="24"/>
          <w:szCs w:val="24"/>
        </w:rPr>
        <w:t xml:space="preserve"> been gradually improving over time,</w:t>
      </w:r>
      <w:r>
        <w:rPr>
          <w:rFonts w:ascii="Times New Roman" w:hAnsi="Times New Roman" w:cs="Times New Roman"/>
          <w:sz w:val="24"/>
          <w:szCs w:val="24"/>
        </w:rPr>
        <w:t xml:space="preserve"> the current review activities have been too limited in their scope</w:t>
      </w:r>
      <w:r w:rsidR="00C079F0">
        <w:rPr>
          <w:rFonts w:ascii="Times New Roman" w:hAnsi="Times New Roman" w:cs="Times New Roman"/>
          <w:sz w:val="24"/>
          <w:szCs w:val="24"/>
        </w:rPr>
        <w:t>.  In addition,</w:t>
      </w:r>
      <w:r w:rsidR="00CF27CF">
        <w:rPr>
          <w:rFonts w:ascii="Times New Roman" w:hAnsi="Times New Roman" w:cs="Times New Roman"/>
          <w:sz w:val="24"/>
          <w:szCs w:val="24"/>
        </w:rPr>
        <w:t xml:space="preserve"> a better developed governance and management structure needed to be put into place</w:t>
      </w:r>
      <w:r>
        <w:rPr>
          <w:rFonts w:ascii="Times New Roman" w:hAnsi="Times New Roman" w:cs="Times New Roman"/>
          <w:sz w:val="24"/>
          <w:szCs w:val="24"/>
        </w:rPr>
        <w:t xml:space="preserve">.  </w:t>
      </w:r>
    </w:p>
    <w:p w:rsidR="00D3152D" w:rsidRPr="0066110A" w:rsidRDefault="00D3152D" w:rsidP="00D3152D">
      <w:pPr>
        <w:rPr>
          <w:rFonts w:ascii="Times New Roman" w:hAnsi="Times New Roman" w:cs="Times New Roman"/>
          <w:sz w:val="24"/>
          <w:szCs w:val="24"/>
        </w:rPr>
      </w:pPr>
      <w:r>
        <w:rPr>
          <w:rFonts w:ascii="Times New Roman" w:hAnsi="Times New Roman" w:cs="Times New Roman"/>
          <w:sz w:val="24"/>
          <w:szCs w:val="24"/>
        </w:rPr>
        <w:t xml:space="preserve">The function has been associated with a </w:t>
      </w:r>
      <w:r w:rsidR="00B93074">
        <w:rPr>
          <w:rFonts w:ascii="Times New Roman" w:hAnsi="Times New Roman" w:cs="Times New Roman"/>
          <w:sz w:val="24"/>
          <w:szCs w:val="24"/>
        </w:rPr>
        <w:t>number of</w:t>
      </w:r>
      <w:r>
        <w:rPr>
          <w:rFonts w:ascii="Times New Roman" w:hAnsi="Times New Roman" w:cs="Times New Roman"/>
          <w:sz w:val="24"/>
          <w:szCs w:val="24"/>
        </w:rPr>
        <w:t xml:space="preserve"> different branches within the Commission </w:t>
      </w:r>
      <w:r w:rsidR="007512A0">
        <w:rPr>
          <w:rFonts w:ascii="Times New Roman" w:hAnsi="Times New Roman" w:cs="Times New Roman"/>
          <w:sz w:val="24"/>
          <w:szCs w:val="24"/>
        </w:rPr>
        <w:t>since its inception</w:t>
      </w:r>
      <w:r w:rsidR="00CF27CF">
        <w:rPr>
          <w:rFonts w:ascii="Times New Roman" w:hAnsi="Times New Roman" w:cs="Times New Roman"/>
          <w:sz w:val="24"/>
          <w:szCs w:val="24"/>
        </w:rPr>
        <w:t>, and its role has not been</w:t>
      </w:r>
      <w:r w:rsidR="00353D69">
        <w:rPr>
          <w:rFonts w:ascii="Times New Roman" w:hAnsi="Times New Roman" w:cs="Times New Roman"/>
          <w:sz w:val="24"/>
          <w:szCs w:val="24"/>
        </w:rPr>
        <w:t xml:space="preserve"> fully</w:t>
      </w:r>
      <w:r w:rsidR="00CF27CF">
        <w:rPr>
          <w:rFonts w:ascii="Times New Roman" w:hAnsi="Times New Roman" w:cs="Times New Roman"/>
          <w:sz w:val="24"/>
          <w:szCs w:val="24"/>
        </w:rPr>
        <w:t xml:space="preserve"> integrated into the Commission’s governance structure as well as it ought to have been</w:t>
      </w:r>
      <w:r>
        <w:rPr>
          <w:rFonts w:ascii="Times New Roman" w:hAnsi="Times New Roman" w:cs="Times New Roman"/>
          <w:sz w:val="24"/>
          <w:szCs w:val="24"/>
        </w:rPr>
        <w:t xml:space="preserve">.  </w:t>
      </w:r>
      <w:r w:rsidR="007512A0">
        <w:rPr>
          <w:rFonts w:ascii="Times New Roman" w:hAnsi="Times New Roman" w:cs="Times New Roman"/>
          <w:sz w:val="24"/>
          <w:szCs w:val="24"/>
        </w:rPr>
        <w:t xml:space="preserve">As a result of </w:t>
      </w:r>
      <w:r w:rsidR="00DA07F1">
        <w:rPr>
          <w:rFonts w:ascii="Times New Roman" w:hAnsi="Times New Roman" w:cs="Times New Roman"/>
          <w:sz w:val="24"/>
          <w:szCs w:val="24"/>
        </w:rPr>
        <w:t>a</w:t>
      </w:r>
      <w:r w:rsidR="007512A0">
        <w:rPr>
          <w:rFonts w:ascii="Times New Roman" w:hAnsi="Times New Roman" w:cs="Times New Roman"/>
          <w:sz w:val="24"/>
          <w:szCs w:val="24"/>
        </w:rPr>
        <w:t xml:space="preserve"> lack of </w:t>
      </w:r>
      <w:r w:rsidR="00A376D9">
        <w:rPr>
          <w:rFonts w:ascii="Times New Roman" w:hAnsi="Times New Roman" w:cs="Times New Roman"/>
          <w:sz w:val="24"/>
          <w:szCs w:val="24"/>
        </w:rPr>
        <w:t xml:space="preserve">active </w:t>
      </w:r>
      <w:r w:rsidR="007512A0">
        <w:rPr>
          <w:rFonts w:ascii="Times New Roman" w:hAnsi="Times New Roman" w:cs="Times New Roman"/>
          <w:sz w:val="24"/>
          <w:szCs w:val="24"/>
        </w:rPr>
        <w:t>involvement at the management level</w:t>
      </w:r>
      <w:r>
        <w:rPr>
          <w:rFonts w:ascii="Times New Roman" w:hAnsi="Times New Roman" w:cs="Times New Roman"/>
          <w:sz w:val="24"/>
          <w:szCs w:val="24"/>
        </w:rPr>
        <w:t>, t</w:t>
      </w:r>
      <w:r w:rsidRPr="0066110A">
        <w:rPr>
          <w:rFonts w:ascii="Times New Roman" w:hAnsi="Times New Roman" w:cs="Times New Roman"/>
          <w:sz w:val="24"/>
          <w:szCs w:val="24"/>
        </w:rPr>
        <w:t>here ha</w:t>
      </w:r>
      <w:r w:rsidR="00B93074">
        <w:rPr>
          <w:rFonts w:ascii="Times New Roman" w:hAnsi="Times New Roman" w:cs="Times New Roman"/>
          <w:sz w:val="24"/>
          <w:szCs w:val="24"/>
        </w:rPr>
        <w:t>ve</w:t>
      </w:r>
      <w:r w:rsidRPr="0066110A">
        <w:rPr>
          <w:rFonts w:ascii="Times New Roman" w:hAnsi="Times New Roman" w:cs="Times New Roman"/>
          <w:sz w:val="24"/>
          <w:szCs w:val="24"/>
        </w:rPr>
        <w:t xml:space="preserve"> been significant failures to fully follow through with a number of </w:t>
      </w:r>
      <w:r w:rsidR="007512A0">
        <w:rPr>
          <w:rFonts w:ascii="Times New Roman" w:hAnsi="Times New Roman" w:cs="Times New Roman"/>
          <w:sz w:val="24"/>
          <w:szCs w:val="24"/>
        </w:rPr>
        <w:t xml:space="preserve">endorsed </w:t>
      </w:r>
      <w:r w:rsidRPr="0066110A">
        <w:rPr>
          <w:rFonts w:ascii="Times New Roman" w:hAnsi="Times New Roman" w:cs="Times New Roman"/>
          <w:sz w:val="24"/>
          <w:szCs w:val="24"/>
        </w:rPr>
        <w:t xml:space="preserve">recommendations that had </w:t>
      </w:r>
      <w:r w:rsidR="007512A0">
        <w:rPr>
          <w:rFonts w:ascii="Times New Roman" w:hAnsi="Times New Roman" w:cs="Times New Roman"/>
          <w:sz w:val="24"/>
          <w:szCs w:val="24"/>
        </w:rPr>
        <w:t>come out of a series of external performance audits conducted between 2002 and 2007</w:t>
      </w:r>
      <w:r w:rsidR="00D528A1">
        <w:rPr>
          <w:rFonts w:ascii="Times New Roman" w:hAnsi="Times New Roman" w:cs="Times New Roman"/>
          <w:sz w:val="24"/>
          <w:szCs w:val="24"/>
        </w:rPr>
        <w:t>.</w:t>
      </w:r>
      <w:r w:rsidR="00C079F0">
        <w:rPr>
          <w:rStyle w:val="FootnoteReference"/>
          <w:rFonts w:ascii="Times New Roman" w:hAnsi="Times New Roman" w:cs="Times New Roman"/>
          <w:sz w:val="24"/>
          <w:szCs w:val="24"/>
        </w:rPr>
        <w:footnoteReference w:id="1"/>
      </w:r>
      <w:r w:rsidR="007512A0">
        <w:rPr>
          <w:rFonts w:ascii="Times New Roman" w:hAnsi="Times New Roman" w:cs="Times New Roman"/>
          <w:sz w:val="24"/>
          <w:szCs w:val="24"/>
        </w:rPr>
        <w:t xml:space="preserve"> </w:t>
      </w:r>
      <w:r w:rsidR="00DA07F1">
        <w:rPr>
          <w:rFonts w:ascii="Times New Roman" w:hAnsi="Times New Roman" w:cs="Times New Roman"/>
          <w:sz w:val="24"/>
          <w:szCs w:val="24"/>
        </w:rPr>
        <w:t>Accordingly,</w:t>
      </w:r>
      <w:r w:rsidRPr="0066110A">
        <w:rPr>
          <w:rFonts w:ascii="Times New Roman" w:hAnsi="Times New Roman" w:cs="Times New Roman"/>
          <w:sz w:val="24"/>
          <w:szCs w:val="24"/>
        </w:rPr>
        <w:t xml:space="preserve"> there </w:t>
      </w:r>
      <w:r w:rsidR="00B93074">
        <w:rPr>
          <w:rFonts w:ascii="Times New Roman" w:hAnsi="Times New Roman" w:cs="Times New Roman"/>
          <w:sz w:val="24"/>
          <w:szCs w:val="24"/>
        </w:rPr>
        <w:t>is</w:t>
      </w:r>
      <w:r w:rsidRPr="0066110A">
        <w:rPr>
          <w:rFonts w:ascii="Times New Roman" w:hAnsi="Times New Roman" w:cs="Times New Roman"/>
          <w:sz w:val="24"/>
          <w:szCs w:val="24"/>
        </w:rPr>
        <w:t xml:space="preserve"> still considerable scope for improvement, particularly in terms of a more strategic direction of its efforts.  </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The </w:t>
      </w:r>
      <w:r>
        <w:rPr>
          <w:rFonts w:ascii="Times New Roman" w:hAnsi="Times New Roman" w:cs="Times New Roman"/>
          <w:sz w:val="24"/>
          <w:szCs w:val="24"/>
        </w:rPr>
        <w:t xml:space="preserve">review concluded that the </w:t>
      </w:r>
      <w:r w:rsidRPr="0066110A">
        <w:rPr>
          <w:rFonts w:ascii="Times New Roman" w:hAnsi="Times New Roman" w:cs="Times New Roman"/>
          <w:sz w:val="24"/>
          <w:szCs w:val="24"/>
        </w:rPr>
        <w:t xml:space="preserve">Commission needs to become more proactive in the way that it seeks to administer and </w:t>
      </w:r>
      <w:r>
        <w:rPr>
          <w:rFonts w:ascii="Times New Roman" w:hAnsi="Times New Roman" w:cs="Times New Roman"/>
          <w:sz w:val="24"/>
          <w:szCs w:val="24"/>
        </w:rPr>
        <w:t>enforce</w:t>
      </w:r>
      <w:r w:rsidRPr="0066110A">
        <w:rPr>
          <w:rFonts w:ascii="Times New Roman" w:hAnsi="Times New Roman" w:cs="Times New Roman"/>
          <w:sz w:val="24"/>
          <w:szCs w:val="24"/>
        </w:rPr>
        <w:t xml:space="preserve"> compliance with the financial disclosure scheme.  </w:t>
      </w:r>
      <w:r>
        <w:rPr>
          <w:rFonts w:ascii="Times New Roman" w:hAnsi="Times New Roman" w:cs="Times New Roman"/>
          <w:sz w:val="24"/>
          <w:szCs w:val="24"/>
        </w:rPr>
        <w:t>It</w:t>
      </w:r>
      <w:r w:rsidRPr="0066110A">
        <w:rPr>
          <w:rFonts w:ascii="Times New Roman" w:hAnsi="Times New Roman" w:cs="Times New Roman"/>
          <w:sz w:val="24"/>
          <w:szCs w:val="24"/>
        </w:rPr>
        <w:t xml:space="preserve"> needs to broaden the coverage of its compliance review program by </w:t>
      </w:r>
      <w:r>
        <w:rPr>
          <w:rFonts w:ascii="Times New Roman" w:hAnsi="Times New Roman" w:cs="Times New Roman"/>
          <w:sz w:val="24"/>
          <w:szCs w:val="24"/>
        </w:rPr>
        <w:t>introducing a program of random testing to complement</w:t>
      </w:r>
      <w:r w:rsidRPr="0066110A">
        <w:rPr>
          <w:rFonts w:ascii="Times New Roman" w:hAnsi="Times New Roman" w:cs="Times New Roman"/>
          <w:sz w:val="24"/>
          <w:szCs w:val="24"/>
        </w:rPr>
        <w:t xml:space="preserve"> the current approach of reviewing every political party (and its associated entities) duri</w:t>
      </w:r>
      <w:r>
        <w:rPr>
          <w:rFonts w:ascii="Times New Roman" w:hAnsi="Times New Roman" w:cs="Times New Roman"/>
          <w:sz w:val="24"/>
          <w:szCs w:val="24"/>
        </w:rPr>
        <w:t>ng a three year electoral cycle.  This</w:t>
      </w:r>
      <w:r w:rsidRPr="0066110A">
        <w:rPr>
          <w:rFonts w:ascii="Times New Roman" w:hAnsi="Times New Roman" w:cs="Times New Roman"/>
          <w:sz w:val="24"/>
          <w:szCs w:val="24"/>
        </w:rPr>
        <w:t xml:space="preserve"> </w:t>
      </w:r>
      <w:r>
        <w:rPr>
          <w:rFonts w:ascii="Times New Roman" w:hAnsi="Times New Roman" w:cs="Times New Roman"/>
          <w:sz w:val="24"/>
          <w:szCs w:val="24"/>
        </w:rPr>
        <w:t>more focused</w:t>
      </w:r>
      <w:r w:rsidRPr="0066110A">
        <w:rPr>
          <w:rFonts w:ascii="Times New Roman" w:hAnsi="Times New Roman" w:cs="Times New Roman"/>
          <w:sz w:val="24"/>
          <w:szCs w:val="24"/>
        </w:rPr>
        <w:t xml:space="preserve"> approach in which </w:t>
      </w:r>
      <w:r>
        <w:rPr>
          <w:rFonts w:ascii="Times New Roman" w:hAnsi="Times New Roman" w:cs="Times New Roman"/>
          <w:sz w:val="24"/>
          <w:szCs w:val="24"/>
        </w:rPr>
        <w:lastRenderedPageBreak/>
        <w:t xml:space="preserve">targets </w:t>
      </w:r>
      <w:r w:rsidRPr="0066110A">
        <w:rPr>
          <w:rFonts w:ascii="Times New Roman" w:hAnsi="Times New Roman" w:cs="Times New Roman"/>
          <w:sz w:val="24"/>
          <w:szCs w:val="24"/>
        </w:rPr>
        <w:t xml:space="preserve">for reviews under section 316(2A) </w:t>
      </w:r>
      <w:r>
        <w:rPr>
          <w:rFonts w:ascii="Times New Roman" w:hAnsi="Times New Roman" w:cs="Times New Roman"/>
          <w:sz w:val="24"/>
          <w:szCs w:val="24"/>
        </w:rPr>
        <w:t xml:space="preserve">of the Electoral Act </w:t>
      </w:r>
      <w:r w:rsidRPr="0066110A">
        <w:rPr>
          <w:rFonts w:ascii="Times New Roman" w:hAnsi="Times New Roman" w:cs="Times New Roman"/>
          <w:sz w:val="24"/>
          <w:szCs w:val="24"/>
        </w:rPr>
        <w:t>are selected on the basis of a sound and comprehensive risk assessment framework that takes into account a wide range of factors</w:t>
      </w:r>
      <w:r>
        <w:rPr>
          <w:rFonts w:ascii="Times New Roman" w:hAnsi="Times New Roman" w:cs="Times New Roman"/>
          <w:sz w:val="24"/>
          <w:szCs w:val="24"/>
        </w:rPr>
        <w:t>, will provide greater confidence to the public and the Parliament that compliance with the scheme is being effectively enforced by the Commission</w:t>
      </w:r>
      <w:r w:rsidRPr="0066110A">
        <w:rPr>
          <w:rFonts w:ascii="Times New Roman" w:hAnsi="Times New Roman" w:cs="Times New Roman"/>
          <w:sz w:val="24"/>
          <w:szCs w:val="24"/>
        </w:rPr>
        <w:t xml:space="preserve">.  </w:t>
      </w:r>
    </w:p>
    <w:p w:rsidR="00D3152D"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This </w:t>
      </w:r>
      <w:r>
        <w:rPr>
          <w:rFonts w:ascii="Times New Roman" w:hAnsi="Times New Roman" w:cs="Times New Roman"/>
          <w:sz w:val="24"/>
          <w:szCs w:val="24"/>
        </w:rPr>
        <w:t>revised</w:t>
      </w:r>
      <w:r w:rsidRPr="0066110A">
        <w:rPr>
          <w:rFonts w:ascii="Times New Roman" w:hAnsi="Times New Roman" w:cs="Times New Roman"/>
          <w:sz w:val="24"/>
          <w:szCs w:val="24"/>
        </w:rPr>
        <w:t xml:space="preserve"> approach to the enforcement of the scheme must also be supported by an upgraded and more sustained approach to educating and informing clients about the nature of their obligations and how they can meet them.  </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This change in direction for the administration of the AEC’s disclosure and compliance function </w:t>
      </w:r>
      <w:r>
        <w:rPr>
          <w:rFonts w:ascii="Times New Roman" w:hAnsi="Times New Roman" w:cs="Times New Roman"/>
          <w:sz w:val="24"/>
          <w:szCs w:val="24"/>
        </w:rPr>
        <w:t>requires</w:t>
      </w:r>
      <w:r w:rsidRPr="0066110A">
        <w:rPr>
          <w:rFonts w:ascii="Times New Roman" w:hAnsi="Times New Roman" w:cs="Times New Roman"/>
          <w:sz w:val="24"/>
          <w:szCs w:val="24"/>
        </w:rPr>
        <w:t xml:space="preserve"> a greater degree of integration and collaboration between the </w:t>
      </w:r>
      <w:r>
        <w:rPr>
          <w:rFonts w:ascii="Times New Roman" w:hAnsi="Times New Roman" w:cs="Times New Roman"/>
          <w:sz w:val="24"/>
          <w:szCs w:val="24"/>
        </w:rPr>
        <w:t>sections</w:t>
      </w:r>
      <w:r w:rsidRPr="0066110A">
        <w:rPr>
          <w:rFonts w:ascii="Times New Roman" w:hAnsi="Times New Roman" w:cs="Times New Roman"/>
          <w:sz w:val="24"/>
          <w:szCs w:val="24"/>
        </w:rPr>
        <w:t xml:space="preserve"> that comprise the </w:t>
      </w:r>
      <w:r>
        <w:rPr>
          <w:rFonts w:ascii="Times New Roman" w:hAnsi="Times New Roman" w:cs="Times New Roman"/>
          <w:sz w:val="24"/>
          <w:szCs w:val="24"/>
        </w:rPr>
        <w:t>Funding and Disclosure (</w:t>
      </w:r>
      <w:r w:rsidRPr="0066110A">
        <w:rPr>
          <w:rFonts w:ascii="Times New Roman" w:hAnsi="Times New Roman" w:cs="Times New Roman"/>
          <w:sz w:val="24"/>
          <w:szCs w:val="24"/>
        </w:rPr>
        <w:t>FAD</w:t>
      </w:r>
      <w:r>
        <w:rPr>
          <w:rFonts w:ascii="Times New Roman" w:hAnsi="Times New Roman" w:cs="Times New Roman"/>
          <w:sz w:val="24"/>
          <w:szCs w:val="24"/>
        </w:rPr>
        <w:t>)</w:t>
      </w:r>
      <w:r w:rsidRPr="0066110A">
        <w:rPr>
          <w:rFonts w:ascii="Times New Roman" w:hAnsi="Times New Roman" w:cs="Times New Roman"/>
          <w:sz w:val="24"/>
          <w:szCs w:val="24"/>
        </w:rPr>
        <w:t xml:space="preserve"> </w:t>
      </w:r>
      <w:r>
        <w:rPr>
          <w:rFonts w:ascii="Times New Roman" w:hAnsi="Times New Roman" w:cs="Times New Roman"/>
          <w:sz w:val="24"/>
          <w:szCs w:val="24"/>
        </w:rPr>
        <w:t xml:space="preserve">group </w:t>
      </w:r>
      <w:r w:rsidRPr="0066110A">
        <w:rPr>
          <w:rFonts w:ascii="Times New Roman" w:hAnsi="Times New Roman" w:cs="Times New Roman"/>
          <w:sz w:val="24"/>
          <w:szCs w:val="24"/>
        </w:rPr>
        <w:t>than has been the case to date.</w:t>
      </w:r>
      <w:r w:rsidR="00C079F0">
        <w:rPr>
          <w:rFonts w:ascii="Times New Roman" w:hAnsi="Times New Roman" w:cs="Times New Roman"/>
          <w:sz w:val="24"/>
          <w:szCs w:val="24"/>
        </w:rPr>
        <w:t xml:space="preserve">  The move to a more proactive approach needs to be applied throughout all areas of FAD responsibility in order to be effective.</w:t>
      </w:r>
    </w:p>
    <w:p w:rsidR="00D3152D" w:rsidRPr="0066110A" w:rsidRDefault="00D3152D" w:rsidP="00D3152D">
      <w:pPr>
        <w:rPr>
          <w:rFonts w:ascii="Times New Roman" w:hAnsi="Times New Roman" w:cs="Times New Roman"/>
          <w:sz w:val="24"/>
          <w:szCs w:val="24"/>
        </w:rPr>
      </w:pPr>
      <w:r>
        <w:rPr>
          <w:rFonts w:ascii="Times New Roman" w:hAnsi="Times New Roman" w:cs="Times New Roman"/>
          <w:sz w:val="24"/>
          <w:szCs w:val="24"/>
        </w:rPr>
        <w:t>A</w:t>
      </w:r>
      <w:r w:rsidRPr="0066110A">
        <w:rPr>
          <w:rFonts w:ascii="Times New Roman" w:hAnsi="Times New Roman" w:cs="Times New Roman"/>
          <w:sz w:val="24"/>
          <w:szCs w:val="24"/>
        </w:rPr>
        <w:t xml:space="preserve"> new business model for the area needs t</w:t>
      </w:r>
      <w:r>
        <w:rPr>
          <w:rFonts w:ascii="Times New Roman" w:hAnsi="Times New Roman" w:cs="Times New Roman"/>
          <w:sz w:val="24"/>
          <w:szCs w:val="24"/>
        </w:rPr>
        <w:t>o be developed that achieves the</w:t>
      </w:r>
      <w:r w:rsidRPr="0066110A">
        <w:rPr>
          <w:rFonts w:ascii="Times New Roman" w:hAnsi="Times New Roman" w:cs="Times New Roman"/>
          <w:sz w:val="24"/>
          <w:szCs w:val="24"/>
        </w:rPr>
        <w:t>s</w:t>
      </w:r>
      <w:r>
        <w:rPr>
          <w:rFonts w:ascii="Times New Roman" w:hAnsi="Times New Roman" w:cs="Times New Roman"/>
          <w:sz w:val="24"/>
          <w:szCs w:val="24"/>
        </w:rPr>
        <w:t>e</w:t>
      </w:r>
      <w:r w:rsidRPr="0066110A">
        <w:rPr>
          <w:rFonts w:ascii="Times New Roman" w:hAnsi="Times New Roman" w:cs="Times New Roman"/>
          <w:sz w:val="24"/>
          <w:szCs w:val="24"/>
        </w:rPr>
        <w:t xml:space="preserve"> end</w:t>
      </w:r>
      <w:r>
        <w:rPr>
          <w:rFonts w:ascii="Times New Roman" w:hAnsi="Times New Roman" w:cs="Times New Roman"/>
          <w:sz w:val="24"/>
          <w:szCs w:val="24"/>
        </w:rPr>
        <w:t>s</w:t>
      </w:r>
      <w:r w:rsidRPr="0066110A">
        <w:rPr>
          <w:rFonts w:ascii="Times New Roman" w:hAnsi="Times New Roman" w:cs="Times New Roman"/>
          <w:sz w:val="24"/>
          <w:szCs w:val="24"/>
        </w:rPr>
        <w:t>.</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 xml:space="preserve">Increased resources to support acquisition of additional personnel with specialist </w:t>
      </w:r>
      <w:r>
        <w:rPr>
          <w:rFonts w:ascii="Times New Roman" w:hAnsi="Times New Roman" w:cs="Times New Roman"/>
          <w:sz w:val="24"/>
          <w:szCs w:val="24"/>
        </w:rPr>
        <w:t xml:space="preserve">analytical </w:t>
      </w:r>
      <w:r w:rsidRPr="0066110A">
        <w:rPr>
          <w:rFonts w:ascii="Times New Roman" w:hAnsi="Times New Roman" w:cs="Times New Roman"/>
          <w:sz w:val="24"/>
          <w:szCs w:val="24"/>
        </w:rPr>
        <w:t>skills not available currently within the Commission and the enhancement and development of improved information technology facilities to support the function properly are key facilitators in the implementation of a new business model for the administration of this function.</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A series of recommendations included in the report address the following:</w:t>
      </w:r>
    </w:p>
    <w:p w:rsidR="00D3152D"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Strengthening the corporate governance framework</w:t>
      </w:r>
    </w:p>
    <w:p w:rsidR="00CF27CF" w:rsidRPr="0066110A" w:rsidRDefault="00CF27CF"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Clearer definition of strategic mission</w:t>
      </w:r>
    </w:p>
    <w:p w:rsidR="00CF27CF" w:rsidRPr="00CF27CF" w:rsidRDefault="00CF27CF" w:rsidP="00420F49">
      <w:pPr>
        <w:pStyle w:val="ListParagraph"/>
        <w:numPr>
          <w:ilvl w:val="0"/>
          <w:numId w:val="16"/>
        </w:numPr>
        <w:rPr>
          <w:rFonts w:ascii="Times New Roman" w:hAnsi="Times New Roman" w:cs="Times New Roman"/>
          <w:sz w:val="24"/>
          <w:szCs w:val="24"/>
        </w:rPr>
      </w:pPr>
      <w:r w:rsidRPr="00CF27CF">
        <w:rPr>
          <w:rFonts w:ascii="Times New Roman" w:hAnsi="Times New Roman" w:cs="Times New Roman"/>
          <w:sz w:val="24"/>
          <w:szCs w:val="24"/>
        </w:rPr>
        <w:t>Strengthened leadership by provision of a full time branch head position to manage the FAD sections free of other unrelated responsibilities</w:t>
      </w:r>
    </w:p>
    <w:p w:rsidR="00D3152D" w:rsidRPr="0066110A"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Acquisition of stronger investigative skills</w:t>
      </w:r>
    </w:p>
    <w:p w:rsidR="00D3152D" w:rsidRPr="0066110A"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Better application of risk management  techniques</w:t>
      </w:r>
    </w:p>
    <w:p w:rsidR="00D3152D" w:rsidRPr="0066110A"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More emphasis on intelligence gathering and analysis</w:t>
      </w:r>
    </w:p>
    <w:p w:rsidR="00D3152D" w:rsidRPr="0066110A"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 xml:space="preserve">Introduction of random </w:t>
      </w:r>
      <w:r w:rsidR="00F6748C">
        <w:rPr>
          <w:rFonts w:ascii="Times New Roman" w:hAnsi="Times New Roman" w:cs="Times New Roman"/>
          <w:sz w:val="24"/>
          <w:szCs w:val="24"/>
        </w:rPr>
        <w:t>‘</w:t>
      </w:r>
      <w:r w:rsidRPr="0066110A">
        <w:rPr>
          <w:rFonts w:ascii="Times New Roman" w:hAnsi="Times New Roman" w:cs="Times New Roman"/>
          <w:sz w:val="24"/>
          <w:szCs w:val="24"/>
        </w:rPr>
        <w:t>spot  check</w:t>
      </w:r>
      <w:r w:rsidR="00F6748C">
        <w:rPr>
          <w:rFonts w:ascii="Times New Roman" w:hAnsi="Times New Roman" w:cs="Times New Roman"/>
          <w:sz w:val="24"/>
          <w:szCs w:val="24"/>
        </w:rPr>
        <w:t>’</w:t>
      </w:r>
      <w:r w:rsidRPr="0066110A">
        <w:rPr>
          <w:rFonts w:ascii="Times New Roman" w:hAnsi="Times New Roman" w:cs="Times New Roman"/>
          <w:sz w:val="24"/>
          <w:szCs w:val="24"/>
        </w:rPr>
        <w:t xml:space="preserve"> based reviews to complement  more programmed activity</w:t>
      </w:r>
    </w:p>
    <w:p w:rsidR="00D3152D" w:rsidRPr="0066110A"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Stronger integration of the compliance,</w:t>
      </w:r>
      <w:r w:rsidR="001248AA">
        <w:rPr>
          <w:rFonts w:ascii="Times New Roman" w:hAnsi="Times New Roman" w:cs="Times New Roman"/>
          <w:sz w:val="24"/>
          <w:szCs w:val="24"/>
        </w:rPr>
        <w:t xml:space="preserve"> party registration</w:t>
      </w:r>
      <w:r w:rsidRPr="0066110A">
        <w:rPr>
          <w:rFonts w:ascii="Times New Roman" w:hAnsi="Times New Roman" w:cs="Times New Roman"/>
          <w:sz w:val="24"/>
          <w:szCs w:val="24"/>
        </w:rPr>
        <w:t xml:space="preserve"> and disclosure sections</w:t>
      </w:r>
    </w:p>
    <w:p w:rsidR="00D3152D" w:rsidRPr="00CF27CF" w:rsidRDefault="00D3152D" w:rsidP="00420F49">
      <w:pPr>
        <w:pStyle w:val="ListParagraph"/>
        <w:numPr>
          <w:ilvl w:val="0"/>
          <w:numId w:val="16"/>
        </w:numPr>
        <w:rPr>
          <w:rFonts w:ascii="Times New Roman" w:hAnsi="Times New Roman" w:cs="Times New Roman"/>
          <w:sz w:val="24"/>
          <w:szCs w:val="24"/>
        </w:rPr>
      </w:pPr>
      <w:r w:rsidRPr="0066110A">
        <w:rPr>
          <w:rFonts w:ascii="Times New Roman" w:hAnsi="Times New Roman" w:cs="Times New Roman"/>
          <w:sz w:val="24"/>
          <w:szCs w:val="24"/>
        </w:rPr>
        <w:t>Development of enhanced integrated</w:t>
      </w:r>
      <w:r w:rsidR="00CF27CF">
        <w:rPr>
          <w:rFonts w:ascii="Times New Roman" w:hAnsi="Times New Roman" w:cs="Times New Roman"/>
          <w:sz w:val="24"/>
          <w:szCs w:val="24"/>
        </w:rPr>
        <w:t xml:space="preserve"> information technology support.</w:t>
      </w:r>
    </w:p>
    <w:p w:rsidR="00D3152D" w:rsidRPr="0066110A" w:rsidRDefault="00D3152D" w:rsidP="00D3152D">
      <w:pPr>
        <w:rPr>
          <w:rFonts w:ascii="Times New Roman" w:hAnsi="Times New Roman" w:cs="Times New Roman"/>
          <w:sz w:val="24"/>
          <w:szCs w:val="24"/>
        </w:rPr>
      </w:pPr>
      <w:r w:rsidRPr="0066110A">
        <w:rPr>
          <w:rFonts w:ascii="Times New Roman" w:hAnsi="Times New Roman" w:cs="Times New Roman"/>
          <w:sz w:val="24"/>
          <w:szCs w:val="24"/>
        </w:rPr>
        <w:t>All of these elements need to be addressed if the compliance function is to be invigorated in the manner proposed.  An improvement in effectiveness will inevitably be gradual as a number of the changes recommended will take time and resources to be</w:t>
      </w:r>
      <w:r>
        <w:rPr>
          <w:rFonts w:ascii="Times New Roman" w:hAnsi="Times New Roman" w:cs="Times New Roman"/>
          <w:sz w:val="24"/>
          <w:szCs w:val="24"/>
        </w:rPr>
        <w:t xml:space="preserve"> properly developed and</w:t>
      </w:r>
      <w:r w:rsidRPr="0066110A">
        <w:rPr>
          <w:rFonts w:ascii="Times New Roman" w:hAnsi="Times New Roman" w:cs="Times New Roman"/>
          <w:sz w:val="24"/>
          <w:szCs w:val="24"/>
        </w:rPr>
        <w:t xml:space="preserve"> implemented.  </w:t>
      </w:r>
    </w:p>
    <w:p w:rsidR="002C7B6D" w:rsidRPr="00C079F0" w:rsidRDefault="00D3152D" w:rsidP="00FF61A6">
      <w:pPr>
        <w:rPr>
          <w:rFonts w:ascii="Times New Roman" w:hAnsi="Times New Roman" w:cs="Times New Roman"/>
          <w:sz w:val="24"/>
          <w:szCs w:val="24"/>
        </w:rPr>
      </w:pPr>
      <w:r w:rsidRPr="0066110A">
        <w:rPr>
          <w:rFonts w:ascii="Times New Roman" w:hAnsi="Times New Roman" w:cs="Times New Roman"/>
          <w:sz w:val="24"/>
          <w:szCs w:val="24"/>
        </w:rPr>
        <w:t xml:space="preserve">The approaches recommended are designed to strengthen the Commission’s </w:t>
      </w:r>
      <w:r>
        <w:rPr>
          <w:rFonts w:ascii="Times New Roman" w:hAnsi="Times New Roman" w:cs="Times New Roman"/>
          <w:sz w:val="24"/>
          <w:szCs w:val="24"/>
        </w:rPr>
        <w:t>capacity</w:t>
      </w:r>
      <w:r w:rsidRPr="0066110A">
        <w:rPr>
          <w:rFonts w:ascii="Times New Roman" w:hAnsi="Times New Roman" w:cs="Times New Roman"/>
          <w:sz w:val="24"/>
          <w:szCs w:val="24"/>
        </w:rPr>
        <w:t xml:space="preserve"> to administer the political funding and public disclosure provisions of the Electoral Act.  </w:t>
      </w:r>
      <w:r>
        <w:rPr>
          <w:rFonts w:ascii="Times New Roman" w:hAnsi="Times New Roman" w:cs="Times New Roman"/>
          <w:sz w:val="24"/>
          <w:szCs w:val="24"/>
        </w:rPr>
        <w:t>They</w:t>
      </w:r>
      <w:r w:rsidR="00026039">
        <w:rPr>
          <w:rFonts w:ascii="Times New Roman" w:hAnsi="Times New Roman" w:cs="Times New Roman"/>
          <w:sz w:val="24"/>
          <w:szCs w:val="24"/>
        </w:rPr>
        <w:t xml:space="preserve"> </w:t>
      </w:r>
      <w:r w:rsidRPr="0066110A">
        <w:rPr>
          <w:rFonts w:ascii="Times New Roman" w:hAnsi="Times New Roman" w:cs="Times New Roman"/>
          <w:sz w:val="24"/>
          <w:szCs w:val="24"/>
        </w:rPr>
        <w:lastRenderedPageBreak/>
        <w:t xml:space="preserve">will also </w:t>
      </w:r>
      <w:r>
        <w:rPr>
          <w:rFonts w:ascii="Times New Roman" w:hAnsi="Times New Roman" w:cs="Times New Roman"/>
          <w:sz w:val="24"/>
          <w:szCs w:val="24"/>
        </w:rPr>
        <w:t>enable</w:t>
      </w:r>
      <w:r w:rsidRPr="0066110A">
        <w:rPr>
          <w:rFonts w:ascii="Times New Roman" w:hAnsi="Times New Roman" w:cs="Times New Roman"/>
          <w:sz w:val="24"/>
          <w:szCs w:val="24"/>
        </w:rPr>
        <w:t xml:space="preserve"> the Commission </w:t>
      </w:r>
      <w:r>
        <w:rPr>
          <w:rFonts w:ascii="Times New Roman" w:hAnsi="Times New Roman" w:cs="Times New Roman"/>
          <w:sz w:val="24"/>
          <w:szCs w:val="24"/>
        </w:rPr>
        <w:t>to be more confident that it is</w:t>
      </w:r>
      <w:r w:rsidRPr="0066110A">
        <w:rPr>
          <w:rFonts w:ascii="Times New Roman" w:hAnsi="Times New Roman" w:cs="Times New Roman"/>
          <w:sz w:val="24"/>
          <w:szCs w:val="24"/>
        </w:rPr>
        <w:t xml:space="preserve"> fully meeting its legislative responsibilities in an appropriate fashion.   </w:t>
      </w:r>
    </w:p>
    <w:p w:rsidR="001E3E7B" w:rsidRDefault="001E3E7B" w:rsidP="00C9247A">
      <w:pPr>
        <w:pStyle w:val="Heading1"/>
        <w:rPr>
          <w:rFonts w:ascii="Times New Roman" w:hAnsi="Times New Roman" w:cs="Times New Roman"/>
          <w:color w:val="auto"/>
        </w:rPr>
      </w:pPr>
      <w:bookmarkStart w:id="3" w:name="_Toc339540820"/>
      <w:r w:rsidRPr="00FF61A6">
        <w:rPr>
          <w:rFonts w:ascii="Times New Roman" w:hAnsi="Times New Roman" w:cs="Times New Roman"/>
          <w:color w:val="auto"/>
        </w:rPr>
        <w:lastRenderedPageBreak/>
        <w:t>Part 1</w:t>
      </w:r>
      <w:r w:rsidR="003E41C4">
        <w:rPr>
          <w:rFonts w:ascii="Times New Roman" w:hAnsi="Times New Roman" w:cs="Times New Roman"/>
          <w:color w:val="auto"/>
        </w:rPr>
        <w:t>:</w:t>
      </w:r>
      <w:r w:rsidRPr="00FF61A6">
        <w:rPr>
          <w:rFonts w:ascii="Times New Roman" w:hAnsi="Times New Roman" w:cs="Times New Roman"/>
          <w:color w:val="auto"/>
        </w:rPr>
        <w:t xml:space="preserve"> Directions for Change</w:t>
      </w:r>
      <w:bookmarkEnd w:id="3"/>
    </w:p>
    <w:p w:rsidR="008E7F28" w:rsidRPr="008E7F28" w:rsidRDefault="008E7F28" w:rsidP="008E7F28">
      <w:pPr>
        <w:pStyle w:val="Heading2"/>
        <w:rPr>
          <w:color w:val="auto"/>
        </w:rPr>
      </w:pPr>
      <w:r w:rsidRPr="008E7F28">
        <w:rPr>
          <w:color w:val="auto"/>
        </w:rPr>
        <w:t>Introduction</w:t>
      </w:r>
    </w:p>
    <w:p w:rsidR="001E3E7B" w:rsidRPr="008E7F28" w:rsidRDefault="001E3E7B" w:rsidP="008E7F28">
      <w:pPr>
        <w:pStyle w:val="Heading2"/>
        <w:numPr>
          <w:ilvl w:val="1"/>
          <w:numId w:val="21"/>
        </w:numPr>
        <w:ind w:left="567" w:hanging="567"/>
        <w:rPr>
          <w:rFonts w:ascii="Times New Roman" w:hAnsi="Times New Roman" w:cs="Times New Roman"/>
          <w:b w:val="0"/>
          <w:color w:val="auto"/>
        </w:rPr>
      </w:pPr>
      <w:r w:rsidRPr="008E7F28">
        <w:rPr>
          <w:rFonts w:ascii="Times New Roman" w:hAnsi="Times New Roman" w:cs="Times New Roman"/>
          <w:b w:val="0"/>
          <w:color w:val="auto"/>
          <w:sz w:val="24"/>
          <w:szCs w:val="24"/>
        </w:rPr>
        <w:t>This report deals with a review of the Australian Electoral Commission’s (</w:t>
      </w:r>
      <w:r w:rsidR="00567678" w:rsidRPr="008E7F28">
        <w:rPr>
          <w:rFonts w:ascii="Times New Roman" w:hAnsi="Times New Roman" w:cs="Times New Roman"/>
          <w:b w:val="0"/>
          <w:color w:val="auto"/>
          <w:sz w:val="24"/>
          <w:szCs w:val="24"/>
        </w:rPr>
        <w:t>the Commission</w:t>
      </w:r>
      <w:r w:rsidRPr="008E7F28">
        <w:rPr>
          <w:rFonts w:ascii="Times New Roman" w:hAnsi="Times New Roman" w:cs="Times New Roman"/>
          <w:b w:val="0"/>
          <w:color w:val="auto"/>
          <w:sz w:val="24"/>
          <w:szCs w:val="24"/>
        </w:rPr>
        <w:t xml:space="preserve">) </w:t>
      </w:r>
      <w:r w:rsidR="00EE0D05" w:rsidRPr="008E7F28">
        <w:rPr>
          <w:rFonts w:ascii="Times New Roman" w:hAnsi="Times New Roman" w:cs="Times New Roman"/>
          <w:b w:val="0"/>
          <w:color w:val="auto"/>
          <w:sz w:val="24"/>
          <w:szCs w:val="24"/>
        </w:rPr>
        <w:t xml:space="preserve">compliance </w:t>
      </w:r>
      <w:r w:rsidRPr="008E7F28">
        <w:rPr>
          <w:rFonts w:ascii="Times New Roman" w:hAnsi="Times New Roman" w:cs="Times New Roman"/>
          <w:b w:val="0"/>
          <w:color w:val="auto"/>
          <w:sz w:val="24"/>
          <w:szCs w:val="24"/>
        </w:rPr>
        <w:t>r</w:t>
      </w:r>
      <w:r w:rsidR="00EE0D05" w:rsidRPr="008E7F28">
        <w:rPr>
          <w:rFonts w:ascii="Times New Roman" w:hAnsi="Times New Roman" w:cs="Times New Roman"/>
          <w:b w:val="0"/>
          <w:color w:val="auto"/>
          <w:sz w:val="24"/>
          <w:szCs w:val="24"/>
        </w:rPr>
        <w:t>esponsibilities in relation to</w:t>
      </w:r>
      <w:r w:rsidRPr="008E7F28">
        <w:rPr>
          <w:rFonts w:ascii="Times New Roman" w:hAnsi="Times New Roman" w:cs="Times New Roman"/>
          <w:b w:val="0"/>
          <w:color w:val="auto"/>
          <w:sz w:val="24"/>
          <w:szCs w:val="24"/>
        </w:rPr>
        <w:t xml:space="preserve"> the political funding and disclosure provisions of the </w:t>
      </w:r>
      <w:r w:rsidRPr="008E7F28">
        <w:rPr>
          <w:rFonts w:ascii="Times New Roman" w:hAnsi="Times New Roman" w:cs="Times New Roman"/>
          <w:b w:val="0"/>
          <w:i/>
          <w:color w:val="auto"/>
          <w:sz w:val="24"/>
          <w:szCs w:val="24"/>
        </w:rPr>
        <w:t xml:space="preserve">Commonwealth Electoral Act 1918 </w:t>
      </w:r>
      <w:r w:rsidRPr="008E7F28">
        <w:rPr>
          <w:rFonts w:ascii="Times New Roman" w:hAnsi="Times New Roman" w:cs="Times New Roman"/>
          <w:b w:val="0"/>
          <w:color w:val="auto"/>
          <w:sz w:val="24"/>
          <w:szCs w:val="24"/>
        </w:rPr>
        <w:t>(Electoral Act)</w:t>
      </w:r>
      <w:r w:rsidRPr="008E7F28">
        <w:rPr>
          <w:rFonts w:ascii="Times New Roman" w:hAnsi="Times New Roman" w:cs="Times New Roman"/>
          <w:b w:val="0"/>
          <w:i/>
          <w:color w:val="auto"/>
          <w:sz w:val="24"/>
          <w:szCs w:val="24"/>
        </w:rPr>
        <w:t>.</w:t>
      </w:r>
      <w:r w:rsidRPr="008E7F28">
        <w:rPr>
          <w:rFonts w:ascii="Times New Roman" w:hAnsi="Times New Roman" w:cs="Times New Roman"/>
          <w:b w:val="0"/>
          <w:color w:val="auto"/>
          <w:sz w:val="24"/>
          <w:szCs w:val="24"/>
        </w:rPr>
        <w:t xml:space="preserve"> </w:t>
      </w:r>
    </w:p>
    <w:p w:rsidR="008E7F28" w:rsidRPr="008E7F28" w:rsidRDefault="001E3E7B" w:rsidP="008E7F28">
      <w:pPr>
        <w:pStyle w:val="Heading2"/>
        <w:numPr>
          <w:ilvl w:val="1"/>
          <w:numId w:val="21"/>
        </w:numPr>
        <w:ind w:left="567" w:hanging="567"/>
        <w:rPr>
          <w:rFonts w:ascii="Times New Roman" w:hAnsi="Times New Roman" w:cs="Times New Roman"/>
          <w:b w:val="0"/>
          <w:color w:val="000000" w:themeColor="text1"/>
          <w:sz w:val="24"/>
          <w:szCs w:val="24"/>
        </w:rPr>
      </w:pPr>
      <w:bookmarkStart w:id="4" w:name="_Toc339540822"/>
      <w:r w:rsidRPr="004234CA">
        <w:rPr>
          <w:rFonts w:ascii="Times New Roman" w:hAnsi="Times New Roman" w:cs="Times New Roman"/>
          <w:b w:val="0"/>
          <w:color w:val="000000" w:themeColor="text1"/>
          <w:sz w:val="24"/>
          <w:szCs w:val="24"/>
        </w:rPr>
        <w:t xml:space="preserve">The review was </w:t>
      </w:r>
      <w:r w:rsidR="00F72092" w:rsidRPr="004234CA">
        <w:rPr>
          <w:rFonts w:ascii="Times New Roman" w:hAnsi="Times New Roman" w:cs="Times New Roman"/>
          <w:b w:val="0"/>
          <w:color w:val="000000" w:themeColor="text1"/>
          <w:sz w:val="24"/>
          <w:szCs w:val="24"/>
        </w:rPr>
        <w:t>established</w:t>
      </w:r>
      <w:r w:rsidRPr="004234CA">
        <w:rPr>
          <w:rFonts w:ascii="Times New Roman" w:hAnsi="Times New Roman" w:cs="Times New Roman"/>
          <w:b w:val="0"/>
          <w:color w:val="000000" w:themeColor="text1"/>
          <w:sz w:val="24"/>
          <w:szCs w:val="24"/>
        </w:rPr>
        <w:t xml:space="preserve"> by the Electoral Commissioner </w:t>
      </w:r>
      <w:r w:rsidR="006233E0">
        <w:rPr>
          <w:rFonts w:ascii="Times New Roman" w:hAnsi="Times New Roman" w:cs="Times New Roman"/>
          <w:b w:val="0"/>
          <w:color w:val="000000" w:themeColor="text1"/>
          <w:sz w:val="24"/>
          <w:szCs w:val="24"/>
        </w:rPr>
        <w:t xml:space="preserve">after he was given </w:t>
      </w:r>
      <w:r w:rsidR="00061B3E">
        <w:rPr>
          <w:rFonts w:ascii="Times New Roman" w:hAnsi="Times New Roman" w:cs="Times New Roman"/>
          <w:b w:val="0"/>
          <w:color w:val="000000" w:themeColor="text1"/>
          <w:sz w:val="24"/>
          <w:szCs w:val="24"/>
        </w:rPr>
        <w:t xml:space="preserve">‘cause to reflect’ </w:t>
      </w:r>
      <w:r w:rsidRPr="004234CA">
        <w:rPr>
          <w:rFonts w:ascii="Times New Roman" w:hAnsi="Times New Roman" w:cs="Times New Roman"/>
          <w:b w:val="0"/>
          <w:color w:val="000000" w:themeColor="text1"/>
          <w:sz w:val="24"/>
          <w:szCs w:val="24"/>
        </w:rPr>
        <w:t xml:space="preserve">following </w:t>
      </w:r>
      <w:r w:rsidR="006233E0">
        <w:rPr>
          <w:rFonts w:ascii="Times New Roman" w:hAnsi="Times New Roman" w:cs="Times New Roman"/>
          <w:b w:val="0"/>
          <w:color w:val="000000" w:themeColor="text1"/>
          <w:sz w:val="24"/>
          <w:szCs w:val="24"/>
        </w:rPr>
        <w:t>commentary from the Joint Standing Committee on Electoral Matters (JSCEM) on the perception of the independence of the Commission in administering the disclosure compliance function under the Electoral Act</w:t>
      </w:r>
      <w:r w:rsidR="00DA07F1">
        <w:rPr>
          <w:rFonts w:ascii="Times New Roman" w:hAnsi="Times New Roman" w:cs="Times New Roman"/>
          <w:b w:val="0"/>
          <w:color w:val="000000" w:themeColor="text1"/>
          <w:sz w:val="24"/>
          <w:szCs w:val="24"/>
        </w:rPr>
        <w:t>.</w:t>
      </w:r>
      <w:r w:rsidR="006233E0">
        <w:rPr>
          <w:rStyle w:val="FootnoteReference"/>
          <w:rFonts w:ascii="Times New Roman" w:hAnsi="Times New Roman" w:cs="Times New Roman"/>
          <w:b w:val="0"/>
          <w:color w:val="000000" w:themeColor="text1"/>
          <w:sz w:val="24"/>
          <w:szCs w:val="24"/>
        </w:rPr>
        <w:footnoteReference w:id="2"/>
      </w:r>
      <w:r w:rsidRPr="004234CA">
        <w:rPr>
          <w:rFonts w:ascii="Times New Roman" w:hAnsi="Times New Roman" w:cs="Times New Roman"/>
          <w:b w:val="0"/>
          <w:color w:val="000000" w:themeColor="text1"/>
          <w:sz w:val="24"/>
          <w:szCs w:val="24"/>
        </w:rPr>
        <w:t xml:space="preserve"> </w:t>
      </w:r>
      <w:r w:rsidR="00DA07F1">
        <w:rPr>
          <w:rFonts w:ascii="Times New Roman" w:hAnsi="Times New Roman" w:cs="Times New Roman"/>
          <w:b w:val="0"/>
          <w:color w:val="000000" w:themeColor="text1"/>
          <w:sz w:val="24"/>
          <w:szCs w:val="24"/>
        </w:rPr>
        <w:t xml:space="preserve"> </w:t>
      </w:r>
      <w:r w:rsidR="006233E0">
        <w:rPr>
          <w:rFonts w:ascii="Times New Roman" w:hAnsi="Times New Roman" w:cs="Times New Roman"/>
          <w:b w:val="0"/>
          <w:color w:val="000000" w:themeColor="text1"/>
          <w:sz w:val="24"/>
          <w:szCs w:val="24"/>
        </w:rPr>
        <w:t xml:space="preserve">The discussions </w:t>
      </w:r>
      <w:r w:rsidR="00DA07F1">
        <w:rPr>
          <w:rFonts w:ascii="Times New Roman" w:hAnsi="Times New Roman" w:cs="Times New Roman"/>
          <w:b w:val="0"/>
          <w:color w:val="000000" w:themeColor="text1"/>
          <w:sz w:val="24"/>
          <w:szCs w:val="24"/>
        </w:rPr>
        <w:t>by</w:t>
      </w:r>
      <w:r w:rsidR="006233E0">
        <w:rPr>
          <w:rFonts w:ascii="Times New Roman" w:hAnsi="Times New Roman" w:cs="Times New Roman"/>
          <w:b w:val="0"/>
          <w:color w:val="000000" w:themeColor="text1"/>
          <w:sz w:val="24"/>
          <w:szCs w:val="24"/>
        </w:rPr>
        <w:t xml:space="preserve"> JSCEM </w:t>
      </w:r>
      <w:r w:rsidRPr="004234CA">
        <w:rPr>
          <w:rFonts w:ascii="Times New Roman" w:hAnsi="Times New Roman" w:cs="Times New Roman"/>
          <w:b w:val="0"/>
          <w:color w:val="000000" w:themeColor="text1"/>
          <w:sz w:val="24"/>
          <w:szCs w:val="24"/>
        </w:rPr>
        <w:t>highlighted the sensitivity of issues associated with the accountabili</w:t>
      </w:r>
      <w:r w:rsidR="009E43A5" w:rsidRPr="004234CA">
        <w:rPr>
          <w:rFonts w:ascii="Times New Roman" w:hAnsi="Times New Roman" w:cs="Times New Roman"/>
          <w:b w:val="0"/>
          <w:color w:val="000000" w:themeColor="text1"/>
          <w:sz w:val="24"/>
          <w:szCs w:val="24"/>
        </w:rPr>
        <w:t>ty of the political parties and individual</w:t>
      </w:r>
      <w:r w:rsidRPr="004234CA">
        <w:rPr>
          <w:rFonts w:ascii="Times New Roman" w:hAnsi="Times New Roman" w:cs="Times New Roman"/>
          <w:b w:val="0"/>
          <w:color w:val="000000" w:themeColor="text1"/>
          <w:sz w:val="24"/>
          <w:szCs w:val="24"/>
        </w:rPr>
        <w:t xml:space="preserve"> members of the Parliament in respect of their receipt of monies from public and outside sources to support electioneering, and of the Commission in administering the relevant provisions contained in the Electoral Act.</w:t>
      </w:r>
      <w:r w:rsidR="00DA07F1">
        <w:rPr>
          <w:rStyle w:val="FootnoteReference"/>
          <w:rFonts w:ascii="Times New Roman" w:hAnsi="Times New Roman" w:cs="Times New Roman"/>
          <w:b w:val="0"/>
          <w:color w:val="000000" w:themeColor="text1"/>
          <w:sz w:val="24"/>
          <w:szCs w:val="24"/>
        </w:rPr>
        <w:footnoteReference w:id="3"/>
      </w:r>
      <w:bookmarkEnd w:id="4"/>
      <w:r w:rsidRPr="004234CA">
        <w:rPr>
          <w:rFonts w:ascii="Times New Roman" w:hAnsi="Times New Roman" w:cs="Times New Roman"/>
          <w:b w:val="0"/>
          <w:color w:val="000000" w:themeColor="text1"/>
          <w:sz w:val="24"/>
          <w:szCs w:val="24"/>
        </w:rPr>
        <w:t xml:space="preserve"> </w:t>
      </w:r>
    </w:p>
    <w:p w:rsidR="008E7F28" w:rsidRPr="008E7F28" w:rsidRDefault="008E7F28" w:rsidP="008E7F28">
      <w:pPr>
        <w:pStyle w:val="Heading2"/>
        <w:rPr>
          <w:rFonts w:ascii="Times New Roman" w:hAnsi="Times New Roman" w:cs="Times New Roman"/>
          <w:color w:val="auto"/>
        </w:rPr>
      </w:pPr>
      <w:r w:rsidRPr="008E7F28">
        <w:rPr>
          <w:rFonts w:ascii="Times New Roman" w:hAnsi="Times New Roman" w:cs="Times New Roman"/>
          <w:color w:val="auto"/>
        </w:rPr>
        <w:t>Disclosure of the sources of political funding</w:t>
      </w:r>
    </w:p>
    <w:p w:rsidR="001E3E7B" w:rsidRPr="008E7F28" w:rsidRDefault="001E3E7B" w:rsidP="008E7F28">
      <w:pPr>
        <w:pStyle w:val="Heading2"/>
        <w:numPr>
          <w:ilvl w:val="1"/>
          <w:numId w:val="21"/>
        </w:numPr>
        <w:ind w:left="567" w:hanging="567"/>
        <w:rPr>
          <w:rFonts w:ascii="Times New Roman" w:hAnsi="Times New Roman" w:cs="Times New Roman"/>
          <w:b w:val="0"/>
          <w:color w:val="auto"/>
        </w:rPr>
      </w:pPr>
      <w:r w:rsidRPr="008E7F28">
        <w:rPr>
          <w:rFonts w:ascii="Times New Roman" w:hAnsi="Times New Roman" w:cs="Times New Roman"/>
          <w:b w:val="0"/>
          <w:color w:val="auto"/>
          <w:sz w:val="24"/>
          <w:szCs w:val="24"/>
        </w:rPr>
        <w:t>Knowledge of the extent of external funding  provided or gifted to political parties and individual candidates for use in their electioneering  efforts is a vital element in informing voters of the nature and extent to which funding from private sources exists.  Public disclosure is a protection against political corruption and it creates a more informed and aware electorate by revealing information about the types of interests, organisations and people who support particular parties and candidates through donations and gifts</w:t>
      </w:r>
      <w:r w:rsidR="00D528A1" w:rsidRPr="008E7F28">
        <w:rPr>
          <w:rFonts w:ascii="Times New Roman" w:hAnsi="Times New Roman" w:cs="Times New Roman"/>
          <w:b w:val="0"/>
          <w:color w:val="auto"/>
          <w:sz w:val="24"/>
          <w:szCs w:val="24"/>
        </w:rPr>
        <w:t>.</w:t>
      </w:r>
      <w:r w:rsidRPr="008E7F28">
        <w:rPr>
          <w:rStyle w:val="FootnoteReference"/>
          <w:rFonts w:ascii="Times New Roman" w:hAnsi="Times New Roman" w:cs="Times New Roman"/>
          <w:b w:val="0"/>
          <w:color w:val="auto"/>
          <w:sz w:val="24"/>
          <w:szCs w:val="24"/>
        </w:rPr>
        <w:footnoteReference w:id="4"/>
      </w:r>
    </w:p>
    <w:p w:rsidR="00A675F7" w:rsidRPr="00C9247A" w:rsidRDefault="00A675F7" w:rsidP="00A675F7">
      <w:pPr>
        <w:pStyle w:val="Heading2"/>
        <w:numPr>
          <w:ilvl w:val="1"/>
          <w:numId w:val="21"/>
        </w:numPr>
        <w:ind w:left="567" w:hanging="567"/>
        <w:rPr>
          <w:b w:val="0"/>
          <w:color w:val="000000" w:themeColor="text1"/>
        </w:rPr>
      </w:pPr>
      <w:bookmarkStart w:id="5" w:name="_Toc339540824"/>
      <w:r w:rsidRPr="00C9247A">
        <w:rPr>
          <w:rFonts w:ascii="Times New Roman" w:hAnsi="Times New Roman" w:cs="Times New Roman"/>
          <w:b w:val="0"/>
          <w:color w:val="000000" w:themeColor="text1"/>
          <w:sz w:val="24"/>
          <w:szCs w:val="24"/>
        </w:rPr>
        <w:t xml:space="preserve">The obligation on political parties and individual candidates to disclose information about election campaign expenditure and its sources was introduced in 1983 in conjunction with the introduction of public funding of political parties and candidates. Public funding was initially based on the reimbursement of expenditure incurred in election campaigning but was replaced in 1995 by a direct entitlement scheme related to votes obtained by candidates, with a candidate needing to achieve at least 4% of the first preference vote to </w:t>
      </w:r>
      <w:r w:rsidR="00061B3E">
        <w:rPr>
          <w:rFonts w:ascii="Times New Roman" w:hAnsi="Times New Roman" w:cs="Times New Roman"/>
          <w:b w:val="0"/>
          <w:color w:val="000000" w:themeColor="text1"/>
          <w:sz w:val="24"/>
          <w:szCs w:val="24"/>
        </w:rPr>
        <w:t>qualify for</w:t>
      </w:r>
      <w:r w:rsidRPr="00C9247A">
        <w:rPr>
          <w:rFonts w:ascii="Times New Roman" w:hAnsi="Times New Roman" w:cs="Times New Roman"/>
          <w:b w:val="0"/>
          <w:color w:val="000000" w:themeColor="text1"/>
          <w:sz w:val="24"/>
          <w:szCs w:val="24"/>
        </w:rPr>
        <w:t xml:space="preserve"> election funding</w:t>
      </w:r>
      <w:r w:rsidR="00D528A1">
        <w:rPr>
          <w:rFonts w:ascii="Times New Roman" w:hAnsi="Times New Roman" w:cs="Times New Roman"/>
          <w:b w:val="0"/>
          <w:color w:val="000000" w:themeColor="text1"/>
          <w:sz w:val="24"/>
          <w:szCs w:val="24"/>
        </w:rPr>
        <w:t>.</w:t>
      </w:r>
      <w:r w:rsidRPr="00C9247A">
        <w:rPr>
          <w:rStyle w:val="FootnoteReference"/>
          <w:rFonts w:ascii="Times New Roman" w:hAnsi="Times New Roman" w:cs="Times New Roman"/>
          <w:b w:val="0"/>
          <w:color w:val="000000" w:themeColor="text1"/>
          <w:sz w:val="24"/>
          <w:szCs w:val="24"/>
        </w:rPr>
        <w:footnoteReference w:id="5"/>
      </w:r>
      <w:bookmarkEnd w:id="5"/>
    </w:p>
    <w:p w:rsidR="00A675F7" w:rsidRPr="00856254" w:rsidRDefault="00A675F7" w:rsidP="00856254">
      <w:pPr>
        <w:pStyle w:val="Heading2"/>
        <w:numPr>
          <w:ilvl w:val="1"/>
          <w:numId w:val="21"/>
        </w:numPr>
        <w:ind w:left="567" w:hanging="567"/>
        <w:rPr>
          <w:rFonts w:ascii="Times New Roman" w:hAnsi="Times New Roman" w:cs="Times New Roman"/>
          <w:b w:val="0"/>
          <w:color w:val="000000" w:themeColor="text1"/>
          <w:sz w:val="24"/>
          <w:szCs w:val="24"/>
        </w:rPr>
      </w:pPr>
      <w:bookmarkStart w:id="6" w:name="_Toc339540825"/>
      <w:r w:rsidRPr="00C9247A">
        <w:rPr>
          <w:rFonts w:ascii="Times New Roman" w:hAnsi="Times New Roman" w:cs="Times New Roman"/>
          <w:b w:val="0"/>
          <w:color w:val="000000" w:themeColor="text1"/>
          <w:sz w:val="24"/>
          <w:szCs w:val="24"/>
        </w:rPr>
        <w:t>Regulation of the receipt and public disclosure of campaign funding and expenditure were seen as complementary, and a natural corollary to the introduction of public funding.  Both elements taken together have added to the quality and sense of fairness of the political contests that characterise Australia’s system of representative government</w:t>
      </w:r>
      <w:r w:rsidR="00D528A1">
        <w:rPr>
          <w:rFonts w:ascii="Times New Roman" w:hAnsi="Times New Roman" w:cs="Times New Roman"/>
          <w:b w:val="0"/>
          <w:color w:val="000000" w:themeColor="text1"/>
          <w:sz w:val="24"/>
          <w:szCs w:val="24"/>
        </w:rPr>
        <w:t>.</w:t>
      </w:r>
      <w:r w:rsidRPr="00C9247A">
        <w:rPr>
          <w:rStyle w:val="FootnoteReference"/>
          <w:rFonts w:ascii="Times New Roman" w:hAnsi="Times New Roman" w:cs="Times New Roman"/>
          <w:b w:val="0"/>
          <w:color w:val="000000" w:themeColor="text1"/>
          <w:sz w:val="24"/>
          <w:szCs w:val="24"/>
        </w:rPr>
        <w:footnoteReference w:id="6"/>
      </w:r>
      <w:bookmarkEnd w:id="6"/>
      <w:r w:rsidRPr="00C9247A">
        <w:rPr>
          <w:rFonts w:ascii="Times New Roman" w:hAnsi="Times New Roman" w:cs="Times New Roman"/>
          <w:b w:val="0"/>
          <w:color w:val="000000" w:themeColor="text1"/>
          <w:sz w:val="24"/>
          <w:szCs w:val="24"/>
        </w:rPr>
        <w:t xml:space="preserve"> </w:t>
      </w:r>
    </w:p>
    <w:p w:rsidR="00EC70CB" w:rsidRPr="00EC70CB" w:rsidRDefault="001E3E7B" w:rsidP="00EC70CB">
      <w:pPr>
        <w:pStyle w:val="Heading2"/>
        <w:numPr>
          <w:ilvl w:val="1"/>
          <w:numId w:val="21"/>
        </w:numPr>
        <w:ind w:left="567" w:hanging="567"/>
        <w:rPr>
          <w:rFonts w:ascii="Times New Roman" w:hAnsi="Times New Roman" w:cs="Times New Roman"/>
          <w:b w:val="0"/>
          <w:color w:val="000000" w:themeColor="text1"/>
          <w:sz w:val="24"/>
          <w:szCs w:val="24"/>
        </w:rPr>
      </w:pPr>
      <w:bookmarkStart w:id="7" w:name="_Toc339540826"/>
      <w:r w:rsidRPr="00C9247A">
        <w:rPr>
          <w:rFonts w:ascii="Times New Roman" w:hAnsi="Times New Roman" w:cs="Times New Roman"/>
          <w:b w:val="0"/>
          <w:color w:val="000000" w:themeColor="text1"/>
          <w:sz w:val="24"/>
          <w:szCs w:val="24"/>
        </w:rPr>
        <w:lastRenderedPageBreak/>
        <w:t xml:space="preserve">The enabling legislation gave to the </w:t>
      </w:r>
      <w:r w:rsidR="00DE4D2A" w:rsidRPr="00C9247A">
        <w:rPr>
          <w:rFonts w:ascii="Times New Roman" w:hAnsi="Times New Roman" w:cs="Times New Roman"/>
          <w:b w:val="0"/>
          <w:color w:val="000000" w:themeColor="text1"/>
          <w:sz w:val="24"/>
          <w:szCs w:val="24"/>
        </w:rPr>
        <w:t>Commission</w:t>
      </w:r>
      <w:r w:rsidRPr="00C9247A">
        <w:rPr>
          <w:rFonts w:ascii="Times New Roman" w:hAnsi="Times New Roman" w:cs="Times New Roman"/>
          <w:b w:val="0"/>
          <w:color w:val="000000" w:themeColor="text1"/>
          <w:sz w:val="24"/>
          <w:szCs w:val="24"/>
        </w:rPr>
        <w:t xml:space="preserve"> the responsibility of administering the scheme. The Commission </w:t>
      </w:r>
      <w:r w:rsidR="006233E0">
        <w:rPr>
          <w:rFonts w:ascii="Times New Roman" w:hAnsi="Times New Roman" w:cs="Times New Roman"/>
          <w:b w:val="0"/>
          <w:color w:val="000000" w:themeColor="text1"/>
          <w:sz w:val="24"/>
          <w:szCs w:val="24"/>
        </w:rPr>
        <w:t xml:space="preserve">in 1983 </w:t>
      </w:r>
      <w:r w:rsidRPr="00C9247A">
        <w:rPr>
          <w:rFonts w:ascii="Times New Roman" w:hAnsi="Times New Roman" w:cs="Times New Roman"/>
          <w:b w:val="0"/>
          <w:color w:val="000000" w:themeColor="text1"/>
          <w:sz w:val="24"/>
          <w:szCs w:val="24"/>
        </w:rPr>
        <w:t>was provided with enforcement powers that included the capacity to undertake reviews and inquiries designed to maintain compliance with the disclosure provisions.  In addition a range of penalties were specified aimed at discouraging non-compliance.</w:t>
      </w:r>
      <w:bookmarkEnd w:id="7"/>
      <w:r w:rsidRPr="00C9247A">
        <w:rPr>
          <w:rFonts w:ascii="Times New Roman" w:hAnsi="Times New Roman" w:cs="Times New Roman"/>
          <w:b w:val="0"/>
          <w:color w:val="000000" w:themeColor="text1"/>
          <w:sz w:val="24"/>
          <w:szCs w:val="24"/>
        </w:rPr>
        <w:t xml:space="preserve">  </w:t>
      </w:r>
    </w:p>
    <w:p w:rsidR="008E7F28" w:rsidRDefault="001E3E7B" w:rsidP="008E7F28">
      <w:pPr>
        <w:pStyle w:val="Heading2"/>
        <w:numPr>
          <w:ilvl w:val="1"/>
          <w:numId w:val="21"/>
        </w:numPr>
        <w:ind w:left="567" w:hanging="567"/>
        <w:rPr>
          <w:rFonts w:ascii="Times New Roman" w:hAnsi="Times New Roman" w:cs="Times New Roman"/>
          <w:b w:val="0"/>
          <w:color w:val="000000" w:themeColor="text1"/>
          <w:sz w:val="24"/>
          <w:szCs w:val="24"/>
        </w:rPr>
      </w:pPr>
      <w:bookmarkStart w:id="8" w:name="_Toc339540827"/>
      <w:r w:rsidRPr="00C9247A">
        <w:rPr>
          <w:rFonts w:ascii="Times New Roman" w:hAnsi="Times New Roman" w:cs="Times New Roman"/>
          <w:b w:val="0"/>
          <w:color w:val="000000" w:themeColor="text1"/>
          <w:sz w:val="24"/>
          <w:szCs w:val="24"/>
        </w:rPr>
        <w:t xml:space="preserve">The choice of the </w:t>
      </w:r>
      <w:r w:rsidR="00DE4D2A" w:rsidRPr="00C9247A">
        <w:rPr>
          <w:rFonts w:ascii="Times New Roman" w:hAnsi="Times New Roman" w:cs="Times New Roman"/>
          <w:b w:val="0"/>
          <w:color w:val="000000" w:themeColor="text1"/>
          <w:sz w:val="24"/>
          <w:szCs w:val="24"/>
        </w:rPr>
        <w:t>Commission</w:t>
      </w:r>
      <w:r w:rsidRPr="00C9247A">
        <w:rPr>
          <w:rFonts w:ascii="Times New Roman" w:hAnsi="Times New Roman" w:cs="Times New Roman"/>
          <w:b w:val="0"/>
          <w:color w:val="000000" w:themeColor="text1"/>
          <w:sz w:val="24"/>
          <w:szCs w:val="24"/>
        </w:rPr>
        <w:t xml:space="preserve"> as the body to administer the new election funding and disclosure scheme built on </w:t>
      </w:r>
      <w:r w:rsidR="0097450F">
        <w:rPr>
          <w:rFonts w:ascii="Times New Roman" w:hAnsi="Times New Roman" w:cs="Times New Roman"/>
          <w:b w:val="0"/>
          <w:color w:val="000000" w:themeColor="text1"/>
          <w:sz w:val="24"/>
          <w:szCs w:val="24"/>
        </w:rPr>
        <w:t>its</w:t>
      </w:r>
      <w:r w:rsidRPr="00C9247A">
        <w:rPr>
          <w:rFonts w:ascii="Times New Roman" w:hAnsi="Times New Roman" w:cs="Times New Roman"/>
          <w:b w:val="0"/>
          <w:color w:val="000000" w:themeColor="text1"/>
          <w:sz w:val="24"/>
          <w:szCs w:val="24"/>
        </w:rPr>
        <w:t xml:space="preserve"> long established reputation as an apolitical independent agency with long experience in managing the electoral process.  </w:t>
      </w:r>
      <w:r w:rsidR="006233E0" w:rsidRPr="00C9247A">
        <w:rPr>
          <w:rFonts w:ascii="Times New Roman" w:hAnsi="Times New Roman" w:cs="Times New Roman"/>
          <w:b w:val="0"/>
          <w:color w:val="000000" w:themeColor="text1"/>
          <w:sz w:val="24"/>
          <w:szCs w:val="24"/>
        </w:rPr>
        <w:t>Selection of the Commission by the Parliament to pick up this additional responsibility seems an obvious and logical one.</w:t>
      </w:r>
      <w:r w:rsidR="006233E0">
        <w:rPr>
          <w:rFonts w:ascii="Times New Roman" w:hAnsi="Times New Roman" w:cs="Times New Roman"/>
          <w:b w:val="0"/>
          <w:color w:val="000000" w:themeColor="text1"/>
          <w:sz w:val="24"/>
          <w:szCs w:val="24"/>
        </w:rPr>
        <w:t xml:space="preserve">  </w:t>
      </w:r>
      <w:r w:rsidRPr="00C9247A">
        <w:rPr>
          <w:rFonts w:ascii="Times New Roman" w:hAnsi="Times New Roman" w:cs="Times New Roman"/>
          <w:b w:val="0"/>
          <w:color w:val="000000" w:themeColor="text1"/>
          <w:sz w:val="24"/>
          <w:szCs w:val="24"/>
        </w:rPr>
        <w:t xml:space="preserve">Some other </w:t>
      </w:r>
      <w:r w:rsidR="00382B38" w:rsidRPr="00C9247A">
        <w:rPr>
          <w:rFonts w:ascii="Times New Roman" w:hAnsi="Times New Roman" w:cs="Times New Roman"/>
          <w:b w:val="0"/>
          <w:color w:val="000000" w:themeColor="text1"/>
          <w:sz w:val="24"/>
          <w:szCs w:val="24"/>
        </w:rPr>
        <w:t>jurisdictions</w:t>
      </w:r>
      <w:r w:rsidRPr="00C9247A">
        <w:rPr>
          <w:rFonts w:ascii="Times New Roman" w:hAnsi="Times New Roman" w:cs="Times New Roman"/>
          <w:b w:val="0"/>
          <w:color w:val="000000" w:themeColor="text1"/>
          <w:sz w:val="24"/>
          <w:szCs w:val="24"/>
        </w:rPr>
        <w:t xml:space="preserve"> with similar schemes</w:t>
      </w:r>
      <w:r w:rsidR="00382B38" w:rsidRPr="00C9247A">
        <w:rPr>
          <w:rFonts w:ascii="Times New Roman" w:hAnsi="Times New Roman" w:cs="Times New Roman"/>
          <w:b w:val="0"/>
          <w:color w:val="000000" w:themeColor="text1"/>
          <w:sz w:val="24"/>
          <w:szCs w:val="24"/>
        </w:rPr>
        <w:t>,</w:t>
      </w:r>
      <w:r w:rsidRPr="00C9247A">
        <w:rPr>
          <w:rFonts w:ascii="Times New Roman" w:hAnsi="Times New Roman" w:cs="Times New Roman"/>
          <w:b w:val="0"/>
          <w:color w:val="000000" w:themeColor="text1"/>
          <w:sz w:val="24"/>
          <w:szCs w:val="24"/>
        </w:rPr>
        <w:t xml:space="preserve"> have established bodies separate to their electoral organisations to oversight funding and public declaration arrangements.  This option has been canvassed in Australia at the Commonwealth level </w:t>
      </w:r>
      <w:r w:rsidR="006233E0">
        <w:rPr>
          <w:rFonts w:ascii="Times New Roman" w:hAnsi="Times New Roman" w:cs="Times New Roman"/>
          <w:b w:val="0"/>
          <w:color w:val="000000" w:themeColor="text1"/>
          <w:sz w:val="24"/>
          <w:szCs w:val="24"/>
        </w:rPr>
        <w:t>but has not been favoured</w:t>
      </w:r>
      <w:r w:rsidR="00D528A1">
        <w:rPr>
          <w:rFonts w:ascii="Times New Roman" w:hAnsi="Times New Roman" w:cs="Times New Roman"/>
          <w:b w:val="0"/>
          <w:color w:val="000000" w:themeColor="text1"/>
          <w:sz w:val="24"/>
          <w:szCs w:val="24"/>
        </w:rPr>
        <w:t>.</w:t>
      </w:r>
      <w:r w:rsidRPr="00C9247A">
        <w:rPr>
          <w:rStyle w:val="FootnoteReference"/>
          <w:rFonts w:ascii="Times New Roman" w:hAnsi="Times New Roman" w:cs="Times New Roman"/>
          <w:b w:val="0"/>
          <w:color w:val="000000" w:themeColor="text1"/>
          <w:sz w:val="24"/>
          <w:szCs w:val="24"/>
        </w:rPr>
        <w:footnoteReference w:id="7"/>
      </w:r>
      <w:bookmarkEnd w:id="8"/>
      <w:r w:rsidR="00496200" w:rsidRPr="00C9247A">
        <w:rPr>
          <w:rFonts w:ascii="Times New Roman" w:hAnsi="Times New Roman" w:cs="Times New Roman"/>
          <w:b w:val="0"/>
          <w:color w:val="000000" w:themeColor="text1"/>
          <w:sz w:val="24"/>
          <w:szCs w:val="24"/>
        </w:rPr>
        <w:t xml:space="preserve"> </w:t>
      </w:r>
      <w:r w:rsidRPr="00C9247A">
        <w:rPr>
          <w:rFonts w:ascii="Times New Roman" w:hAnsi="Times New Roman" w:cs="Times New Roman"/>
          <w:b w:val="0"/>
          <w:color w:val="000000" w:themeColor="text1"/>
          <w:sz w:val="24"/>
          <w:szCs w:val="24"/>
        </w:rPr>
        <w:t xml:space="preserve"> </w:t>
      </w:r>
    </w:p>
    <w:p w:rsidR="00EC70CB" w:rsidRPr="00EC70CB" w:rsidRDefault="00EC70CB" w:rsidP="00EC70CB"/>
    <w:p w:rsidR="008E7F28" w:rsidRPr="008E7F28" w:rsidRDefault="007F6D87" w:rsidP="008E7F28">
      <w:pPr>
        <w:pStyle w:val="Heading2"/>
        <w:rPr>
          <w:rFonts w:ascii="Times New Roman" w:hAnsi="Times New Roman" w:cs="Times New Roman"/>
          <w:color w:val="auto"/>
        </w:rPr>
      </w:pPr>
      <w:r>
        <w:rPr>
          <w:rFonts w:ascii="Times New Roman" w:hAnsi="Times New Roman" w:cs="Times New Roman"/>
          <w:color w:val="auto"/>
        </w:rPr>
        <w:t>History of</w:t>
      </w:r>
      <w:r w:rsidR="008E7F28">
        <w:rPr>
          <w:rFonts w:ascii="Times New Roman" w:hAnsi="Times New Roman" w:cs="Times New Roman"/>
          <w:color w:val="auto"/>
        </w:rPr>
        <w:t xml:space="preserve"> </w:t>
      </w:r>
      <w:r w:rsidR="008E7F28" w:rsidRPr="008E7F28">
        <w:rPr>
          <w:rFonts w:ascii="Times New Roman" w:hAnsi="Times New Roman" w:cs="Times New Roman"/>
          <w:color w:val="auto"/>
        </w:rPr>
        <w:t>compliance powers</w:t>
      </w:r>
    </w:p>
    <w:p w:rsidR="00EC70CB" w:rsidRPr="00F7263B" w:rsidRDefault="001E3E7B" w:rsidP="00EC70CB">
      <w:pPr>
        <w:pStyle w:val="Heading2"/>
        <w:numPr>
          <w:ilvl w:val="1"/>
          <w:numId w:val="21"/>
        </w:numPr>
        <w:ind w:left="567" w:hanging="567"/>
        <w:rPr>
          <w:rFonts w:ascii="Times New Roman" w:hAnsi="Times New Roman" w:cs="Times New Roman"/>
          <w:b w:val="0"/>
          <w:color w:val="auto"/>
          <w:sz w:val="24"/>
          <w:szCs w:val="24"/>
        </w:rPr>
      </w:pPr>
      <w:r w:rsidRPr="008E7F28">
        <w:rPr>
          <w:rFonts w:ascii="Times New Roman" w:hAnsi="Times New Roman" w:cs="Times New Roman"/>
          <w:b w:val="0"/>
          <w:color w:val="auto"/>
          <w:sz w:val="24"/>
          <w:szCs w:val="24"/>
        </w:rPr>
        <w:t xml:space="preserve">Prior to 1991 the </w:t>
      </w:r>
      <w:r w:rsidR="007D708B" w:rsidRPr="008E7F28">
        <w:rPr>
          <w:rFonts w:ascii="Times New Roman" w:hAnsi="Times New Roman" w:cs="Times New Roman"/>
          <w:b w:val="0"/>
          <w:color w:val="auto"/>
          <w:sz w:val="24"/>
          <w:szCs w:val="24"/>
        </w:rPr>
        <w:t xml:space="preserve">Electoral </w:t>
      </w:r>
      <w:r w:rsidRPr="008E7F28">
        <w:rPr>
          <w:rFonts w:ascii="Times New Roman" w:hAnsi="Times New Roman" w:cs="Times New Roman"/>
          <w:b w:val="0"/>
          <w:color w:val="auto"/>
          <w:sz w:val="24"/>
          <w:szCs w:val="24"/>
        </w:rPr>
        <w:t>Act enabled the Commission to conduct investigations where,</w:t>
      </w:r>
      <w:r w:rsidR="007D708B" w:rsidRPr="008E7F28">
        <w:rPr>
          <w:rFonts w:ascii="Times New Roman" w:hAnsi="Times New Roman" w:cs="Times New Roman"/>
          <w:b w:val="0"/>
          <w:color w:val="auto"/>
          <w:sz w:val="24"/>
          <w:szCs w:val="24"/>
        </w:rPr>
        <w:t xml:space="preserve"> as a precondition, there were ‘reasonable grounds’</w:t>
      </w:r>
      <w:r w:rsidRPr="008E7F28">
        <w:rPr>
          <w:rFonts w:ascii="Times New Roman" w:hAnsi="Times New Roman" w:cs="Times New Roman"/>
          <w:b w:val="0"/>
          <w:color w:val="auto"/>
          <w:sz w:val="24"/>
          <w:szCs w:val="24"/>
        </w:rPr>
        <w:t xml:space="preserve"> to believe that the provisions concerning funding and financial disclosure had or might have been contravened (section 316(3)</w:t>
      </w:r>
      <w:r w:rsidR="00504BE2" w:rsidRPr="008E7F28">
        <w:rPr>
          <w:rFonts w:ascii="Times New Roman" w:hAnsi="Times New Roman" w:cs="Times New Roman"/>
          <w:b w:val="0"/>
          <w:color w:val="auto"/>
          <w:sz w:val="24"/>
          <w:szCs w:val="24"/>
        </w:rPr>
        <w:t>)</w:t>
      </w:r>
      <w:r w:rsidRPr="008E7F28">
        <w:rPr>
          <w:rFonts w:ascii="Times New Roman" w:hAnsi="Times New Roman" w:cs="Times New Roman"/>
          <w:b w:val="0"/>
          <w:color w:val="auto"/>
          <w:sz w:val="24"/>
          <w:szCs w:val="24"/>
        </w:rPr>
        <w:t xml:space="preserve">.  </w:t>
      </w:r>
    </w:p>
    <w:p w:rsidR="00EC70CB" w:rsidRPr="00EC70CB" w:rsidRDefault="00267E70" w:rsidP="00EC70CB">
      <w:pPr>
        <w:pStyle w:val="Heading2"/>
        <w:numPr>
          <w:ilvl w:val="1"/>
          <w:numId w:val="21"/>
        </w:numPr>
        <w:ind w:left="567" w:hanging="567"/>
        <w:rPr>
          <w:rFonts w:ascii="Times New Roman" w:hAnsi="Times New Roman" w:cs="Times New Roman"/>
          <w:b w:val="0"/>
          <w:color w:val="000000" w:themeColor="text1"/>
          <w:sz w:val="24"/>
          <w:szCs w:val="24"/>
        </w:rPr>
      </w:pPr>
      <w:bookmarkStart w:id="9" w:name="_Toc339540829"/>
      <w:r w:rsidRPr="00C9247A">
        <w:rPr>
          <w:rFonts w:ascii="Times New Roman" w:hAnsi="Times New Roman" w:cs="Times New Roman"/>
          <w:b w:val="0"/>
          <w:color w:val="000000" w:themeColor="text1"/>
          <w:sz w:val="24"/>
          <w:szCs w:val="24"/>
        </w:rPr>
        <w:t>A new power, section 316(2A), was added in 1991. It was similar in purpose and was accompanied by the same compulsive powers that were contained in the existing investigative power in section 316(3), but containing the important difference that it could be invo</w:t>
      </w:r>
      <w:r w:rsidR="00EF7B37">
        <w:rPr>
          <w:rFonts w:ascii="Times New Roman" w:hAnsi="Times New Roman" w:cs="Times New Roman"/>
          <w:b w:val="0"/>
          <w:color w:val="000000" w:themeColor="text1"/>
          <w:sz w:val="24"/>
          <w:szCs w:val="24"/>
        </w:rPr>
        <w:t>ked without a prior ‘reasonable grounds’</w:t>
      </w:r>
      <w:r w:rsidRPr="00C9247A">
        <w:rPr>
          <w:rFonts w:ascii="Times New Roman" w:hAnsi="Times New Roman" w:cs="Times New Roman"/>
          <w:b w:val="0"/>
          <w:color w:val="000000" w:themeColor="text1"/>
          <w:sz w:val="24"/>
          <w:szCs w:val="24"/>
        </w:rPr>
        <w:t xml:space="preserve"> test needing to be met. The new provision was </w:t>
      </w:r>
      <w:r w:rsidR="007D708B">
        <w:rPr>
          <w:rFonts w:ascii="Times New Roman" w:hAnsi="Times New Roman" w:cs="Times New Roman"/>
          <w:b w:val="0"/>
          <w:color w:val="000000" w:themeColor="text1"/>
          <w:sz w:val="24"/>
          <w:szCs w:val="24"/>
        </w:rPr>
        <w:t xml:space="preserve">also </w:t>
      </w:r>
      <w:r w:rsidRPr="00C9247A">
        <w:rPr>
          <w:rFonts w:ascii="Times New Roman" w:hAnsi="Times New Roman" w:cs="Times New Roman"/>
          <w:b w:val="0"/>
          <w:color w:val="000000" w:themeColor="text1"/>
          <w:sz w:val="24"/>
          <w:szCs w:val="24"/>
        </w:rPr>
        <w:t>more restrictive than the existing investigative power in the limited sense that it did not extend to the use of compulsive powers to require the production of specified material and attendance of persons from sources not bound by the disclosure provisions, such as private persons or banks.</w:t>
      </w:r>
      <w:bookmarkEnd w:id="9"/>
      <w:r w:rsidRPr="00C9247A">
        <w:rPr>
          <w:rFonts w:ascii="Times New Roman" w:hAnsi="Times New Roman" w:cs="Times New Roman"/>
          <w:b w:val="0"/>
          <w:color w:val="000000" w:themeColor="text1"/>
          <w:sz w:val="24"/>
          <w:szCs w:val="24"/>
        </w:rPr>
        <w:t xml:space="preserve">  </w:t>
      </w:r>
    </w:p>
    <w:p w:rsidR="00EC70CB" w:rsidRPr="00F7263B" w:rsidRDefault="00267E70" w:rsidP="00EC70CB">
      <w:pPr>
        <w:pStyle w:val="Heading2"/>
        <w:numPr>
          <w:ilvl w:val="1"/>
          <w:numId w:val="21"/>
        </w:numPr>
        <w:ind w:left="567" w:hanging="567"/>
        <w:rPr>
          <w:rFonts w:ascii="Times New Roman" w:hAnsi="Times New Roman" w:cs="Times New Roman"/>
          <w:b w:val="0"/>
          <w:color w:val="000000" w:themeColor="text1"/>
          <w:sz w:val="24"/>
          <w:szCs w:val="24"/>
        </w:rPr>
      </w:pPr>
      <w:bookmarkStart w:id="10" w:name="_Toc339540830"/>
      <w:r w:rsidRPr="00C9247A">
        <w:rPr>
          <w:rFonts w:ascii="Times New Roman" w:hAnsi="Times New Roman" w:cs="Times New Roman"/>
          <w:b w:val="0"/>
          <w:color w:val="000000" w:themeColor="text1"/>
          <w:sz w:val="24"/>
          <w:szCs w:val="24"/>
        </w:rPr>
        <w:t>The genesis of the new provision was a legal advising from the Attorney-General’s Department in the 1980’s which to the surprise of the Commission at the time, indicated that it could not require the production of records relating to gifts that did not need to be included in a disclosure return.</w:t>
      </w:r>
      <w:bookmarkEnd w:id="10"/>
      <w:r w:rsidRPr="00C9247A">
        <w:rPr>
          <w:rFonts w:ascii="Times New Roman" w:hAnsi="Times New Roman" w:cs="Times New Roman"/>
          <w:b w:val="0"/>
          <w:color w:val="000000" w:themeColor="text1"/>
          <w:sz w:val="24"/>
          <w:szCs w:val="24"/>
        </w:rPr>
        <w:t xml:space="preserve">  </w:t>
      </w:r>
    </w:p>
    <w:p w:rsidR="00F7263B" w:rsidRDefault="00267E70" w:rsidP="001E3E7B">
      <w:pPr>
        <w:pStyle w:val="Heading2"/>
        <w:numPr>
          <w:ilvl w:val="1"/>
          <w:numId w:val="21"/>
        </w:numPr>
        <w:ind w:left="567" w:hanging="567"/>
        <w:rPr>
          <w:rFonts w:ascii="Times New Roman" w:hAnsi="Times New Roman" w:cs="Times New Roman"/>
          <w:b w:val="0"/>
          <w:color w:val="000000" w:themeColor="text1"/>
          <w:sz w:val="24"/>
          <w:szCs w:val="24"/>
        </w:rPr>
      </w:pPr>
      <w:bookmarkStart w:id="11" w:name="_Toc339540831"/>
      <w:r w:rsidRPr="00C9247A">
        <w:rPr>
          <w:rFonts w:ascii="Times New Roman" w:hAnsi="Times New Roman" w:cs="Times New Roman"/>
          <w:b w:val="0"/>
          <w:color w:val="000000" w:themeColor="text1"/>
          <w:sz w:val="24"/>
          <w:szCs w:val="24"/>
        </w:rPr>
        <w:t>At the Joint Se</w:t>
      </w:r>
      <w:r w:rsidR="00EC70CB">
        <w:rPr>
          <w:rFonts w:ascii="Times New Roman" w:hAnsi="Times New Roman" w:cs="Times New Roman"/>
          <w:b w:val="0"/>
          <w:color w:val="000000" w:themeColor="text1"/>
          <w:sz w:val="24"/>
          <w:szCs w:val="24"/>
        </w:rPr>
        <w:t>lect Committee on Electoral Refo</w:t>
      </w:r>
      <w:r w:rsidRPr="00C9247A">
        <w:rPr>
          <w:rFonts w:ascii="Times New Roman" w:hAnsi="Times New Roman" w:cs="Times New Roman"/>
          <w:b w:val="0"/>
          <w:color w:val="000000" w:themeColor="text1"/>
          <w:sz w:val="24"/>
          <w:szCs w:val="24"/>
        </w:rPr>
        <w:t xml:space="preserve">rm inquiry after the 1984 election, the Commission advised of its inability to </w:t>
      </w:r>
      <w:r w:rsidR="00EC70CB">
        <w:rPr>
          <w:rFonts w:ascii="Times New Roman" w:hAnsi="Times New Roman" w:cs="Times New Roman"/>
          <w:b w:val="0"/>
          <w:color w:val="000000" w:themeColor="text1"/>
          <w:sz w:val="24"/>
          <w:szCs w:val="24"/>
        </w:rPr>
        <w:t>undertake random compliance audi</w:t>
      </w:r>
      <w:r w:rsidRPr="00C9247A">
        <w:rPr>
          <w:rFonts w:ascii="Times New Roman" w:hAnsi="Times New Roman" w:cs="Times New Roman"/>
          <w:b w:val="0"/>
          <w:color w:val="000000" w:themeColor="text1"/>
          <w:sz w:val="24"/>
          <w:szCs w:val="24"/>
        </w:rPr>
        <w:t xml:space="preserve">ts. It indicated that section 316 had always been intended to cover the conduct of random compliance audits.  </w:t>
      </w:r>
    </w:p>
    <w:p w:rsidR="00F7263B" w:rsidRPr="00F7263B" w:rsidRDefault="00F7263B" w:rsidP="00F7263B"/>
    <w:p w:rsidR="00267E70" w:rsidRPr="007D708B" w:rsidRDefault="00267E70" w:rsidP="001E3E7B">
      <w:pPr>
        <w:pStyle w:val="Heading2"/>
        <w:numPr>
          <w:ilvl w:val="1"/>
          <w:numId w:val="21"/>
        </w:numPr>
        <w:ind w:left="567" w:hanging="567"/>
        <w:rPr>
          <w:rFonts w:ascii="Times New Roman" w:hAnsi="Times New Roman" w:cs="Times New Roman"/>
          <w:b w:val="0"/>
          <w:color w:val="000000" w:themeColor="text1"/>
          <w:sz w:val="24"/>
          <w:szCs w:val="24"/>
        </w:rPr>
      </w:pPr>
      <w:r w:rsidRPr="00C9247A">
        <w:rPr>
          <w:rFonts w:ascii="Times New Roman" w:hAnsi="Times New Roman" w:cs="Times New Roman"/>
          <w:b w:val="0"/>
          <w:color w:val="000000" w:themeColor="text1"/>
          <w:sz w:val="24"/>
          <w:szCs w:val="24"/>
        </w:rPr>
        <w:lastRenderedPageBreak/>
        <w:t>The Commission believed its ability to administer and enforce the disclosure provisions of the Electoral Act was severely limited by being unable to undertake such reviews, however, the Joint Committee at the time was no</w:t>
      </w:r>
      <w:r w:rsidR="00A6156A">
        <w:rPr>
          <w:rFonts w:ascii="Times New Roman" w:hAnsi="Times New Roman" w:cs="Times New Roman"/>
          <w:b w:val="0"/>
          <w:color w:val="000000" w:themeColor="text1"/>
          <w:sz w:val="24"/>
          <w:szCs w:val="24"/>
        </w:rPr>
        <w:t>t persuaded to recommend any cha</w:t>
      </w:r>
      <w:r w:rsidRPr="00C9247A">
        <w:rPr>
          <w:rFonts w:ascii="Times New Roman" w:hAnsi="Times New Roman" w:cs="Times New Roman"/>
          <w:b w:val="0"/>
          <w:color w:val="000000" w:themeColor="text1"/>
          <w:sz w:val="24"/>
          <w:szCs w:val="24"/>
        </w:rPr>
        <w:t>nge.</w:t>
      </w:r>
      <w:bookmarkEnd w:id="11"/>
      <w:r w:rsidRPr="00C9247A">
        <w:rPr>
          <w:rFonts w:ascii="Times New Roman" w:hAnsi="Times New Roman" w:cs="Times New Roman"/>
          <w:b w:val="0"/>
          <w:color w:val="000000" w:themeColor="text1"/>
          <w:sz w:val="24"/>
          <w:szCs w:val="24"/>
        </w:rPr>
        <w:t xml:space="preserve"> </w:t>
      </w:r>
    </w:p>
    <w:p w:rsidR="001E3E7B" w:rsidRPr="00C9247A" w:rsidRDefault="001E3E7B" w:rsidP="00C9247A">
      <w:pPr>
        <w:pStyle w:val="Heading2"/>
        <w:numPr>
          <w:ilvl w:val="1"/>
          <w:numId w:val="21"/>
        </w:numPr>
        <w:ind w:left="567" w:hanging="567"/>
        <w:rPr>
          <w:rFonts w:ascii="Times New Roman" w:hAnsi="Times New Roman" w:cs="Times New Roman"/>
          <w:b w:val="0"/>
          <w:color w:val="000000" w:themeColor="text1"/>
          <w:sz w:val="24"/>
          <w:szCs w:val="24"/>
        </w:rPr>
      </w:pPr>
      <w:bookmarkStart w:id="12" w:name="_Toc339540832"/>
      <w:r w:rsidRPr="00C9247A">
        <w:rPr>
          <w:rFonts w:ascii="Times New Roman" w:hAnsi="Times New Roman" w:cs="Times New Roman"/>
          <w:b w:val="0"/>
          <w:color w:val="000000" w:themeColor="text1"/>
          <w:sz w:val="24"/>
          <w:szCs w:val="24"/>
        </w:rPr>
        <w:t xml:space="preserve">The issue was revisited by the Joint Standing Committee on Electoral Matters (JSCEM) following the 1987 election. At hearings the then Electoral Commissioner indicated that if the Committee: </w:t>
      </w:r>
      <w:r w:rsidRPr="00C9247A">
        <w:rPr>
          <w:rFonts w:ascii="Times New Roman" w:hAnsi="Times New Roman" w:cs="Times New Roman"/>
          <w:b w:val="0"/>
          <w:i/>
          <w:color w:val="000000" w:themeColor="text1"/>
          <w:sz w:val="24"/>
          <w:szCs w:val="24"/>
        </w:rPr>
        <w:t xml:space="preserve">‘…believed that a system of disclosure is an integral part of a contemporary democratic system, then </w:t>
      </w:r>
      <w:r w:rsidR="00A0654B">
        <w:rPr>
          <w:rFonts w:ascii="Times New Roman" w:hAnsi="Times New Roman" w:cs="Times New Roman"/>
          <w:b w:val="0"/>
          <w:color w:val="000000" w:themeColor="text1"/>
          <w:sz w:val="24"/>
          <w:szCs w:val="24"/>
        </w:rPr>
        <w:t>[</w:t>
      </w:r>
      <w:r w:rsidRPr="00A0654B">
        <w:rPr>
          <w:rFonts w:ascii="Times New Roman" w:hAnsi="Times New Roman" w:cs="Times New Roman"/>
          <w:b w:val="0"/>
          <w:color w:val="000000" w:themeColor="text1"/>
          <w:sz w:val="24"/>
          <w:szCs w:val="24"/>
        </w:rPr>
        <w:t xml:space="preserve">the </w:t>
      </w:r>
      <w:r w:rsidR="00DE4D2A" w:rsidRPr="00A0654B">
        <w:rPr>
          <w:rFonts w:ascii="Times New Roman" w:hAnsi="Times New Roman" w:cs="Times New Roman"/>
          <w:b w:val="0"/>
          <w:color w:val="000000" w:themeColor="text1"/>
          <w:sz w:val="24"/>
          <w:szCs w:val="24"/>
        </w:rPr>
        <w:t>Commission</w:t>
      </w:r>
      <w:r w:rsidR="00A0654B">
        <w:rPr>
          <w:rFonts w:ascii="Times New Roman" w:hAnsi="Times New Roman" w:cs="Times New Roman"/>
          <w:b w:val="0"/>
          <w:color w:val="000000" w:themeColor="text1"/>
          <w:sz w:val="24"/>
          <w:szCs w:val="24"/>
        </w:rPr>
        <w:t>]</w:t>
      </w:r>
      <w:r w:rsidRPr="00C9247A">
        <w:rPr>
          <w:rFonts w:ascii="Times New Roman" w:hAnsi="Times New Roman" w:cs="Times New Roman"/>
          <w:b w:val="0"/>
          <w:i/>
          <w:color w:val="000000" w:themeColor="text1"/>
          <w:sz w:val="24"/>
          <w:szCs w:val="24"/>
        </w:rPr>
        <w:t xml:space="preserve"> believe that it should go further than it does at present…’</w:t>
      </w:r>
      <w:r w:rsidR="00F72092" w:rsidRPr="00C9247A">
        <w:rPr>
          <w:rStyle w:val="FootnoteReference"/>
          <w:rFonts w:ascii="Times New Roman" w:hAnsi="Times New Roman" w:cs="Times New Roman"/>
          <w:b w:val="0"/>
          <w:color w:val="000000" w:themeColor="text1"/>
          <w:sz w:val="20"/>
          <w:szCs w:val="20"/>
        </w:rPr>
        <w:footnoteReference w:id="8"/>
      </w:r>
      <w:bookmarkEnd w:id="12"/>
    </w:p>
    <w:p w:rsidR="001E3E7B" w:rsidRPr="00C9247A" w:rsidRDefault="001E3E7B" w:rsidP="00C9247A">
      <w:pPr>
        <w:pStyle w:val="Heading2"/>
        <w:numPr>
          <w:ilvl w:val="1"/>
          <w:numId w:val="21"/>
        </w:numPr>
        <w:ind w:left="567" w:hanging="567"/>
        <w:rPr>
          <w:rFonts w:ascii="Times New Roman" w:hAnsi="Times New Roman" w:cs="Times New Roman"/>
          <w:b w:val="0"/>
          <w:i/>
          <w:color w:val="000000" w:themeColor="text1"/>
          <w:sz w:val="24"/>
          <w:szCs w:val="24"/>
        </w:rPr>
      </w:pPr>
      <w:bookmarkStart w:id="13" w:name="_Toc339540833"/>
      <w:r w:rsidRPr="004234CA">
        <w:rPr>
          <w:rFonts w:ascii="Times New Roman" w:hAnsi="Times New Roman" w:cs="Times New Roman"/>
          <w:b w:val="0"/>
          <w:color w:val="000000" w:themeColor="text1"/>
          <w:sz w:val="24"/>
          <w:szCs w:val="24"/>
        </w:rPr>
        <w:t xml:space="preserve">The Electoral Commissioner added that if the </w:t>
      </w:r>
      <w:r w:rsidR="00DE4D2A" w:rsidRPr="004234CA">
        <w:rPr>
          <w:rFonts w:ascii="Times New Roman" w:hAnsi="Times New Roman" w:cs="Times New Roman"/>
          <w:b w:val="0"/>
          <w:color w:val="000000" w:themeColor="text1"/>
          <w:sz w:val="24"/>
          <w:szCs w:val="24"/>
        </w:rPr>
        <w:t>Commission</w:t>
      </w:r>
      <w:r w:rsidRPr="004234CA">
        <w:rPr>
          <w:rFonts w:ascii="Times New Roman" w:hAnsi="Times New Roman" w:cs="Times New Roman"/>
          <w:b w:val="0"/>
          <w:color w:val="000000" w:themeColor="text1"/>
          <w:sz w:val="24"/>
          <w:szCs w:val="24"/>
        </w:rPr>
        <w:t xml:space="preserve"> had the power to conduct</w:t>
      </w:r>
      <w:r w:rsidRPr="00C9247A">
        <w:rPr>
          <w:rFonts w:ascii="Times New Roman" w:hAnsi="Times New Roman" w:cs="Times New Roman"/>
          <w:b w:val="0"/>
          <w:color w:val="000000" w:themeColor="text1"/>
          <w:sz w:val="24"/>
          <w:szCs w:val="24"/>
        </w:rPr>
        <w:t xml:space="preserve"> spot audits it would be able to say with a clearer conscience and more confidence that:  </w:t>
      </w:r>
      <w:r w:rsidR="00F72092" w:rsidRPr="00C9247A">
        <w:rPr>
          <w:rFonts w:ascii="Times New Roman" w:hAnsi="Times New Roman" w:cs="Times New Roman"/>
          <w:b w:val="0"/>
          <w:i/>
          <w:color w:val="000000" w:themeColor="text1"/>
          <w:sz w:val="24"/>
          <w:szCs w:val="24"/>
        </w:rPr>
        <w:t>‘</w:t>
      </w:r>
      <w:r w:rsidRPr="00C9247A">
        <w:rPr>
          <w:rFonts w:ascii="Times New Roman" w:hAnsi="Times New Roman" w:cs="Times New Roman"/>
          <w:b w:val="0"/>
          <w:i/>
          <w:color w:val="000000" w:themeColor="text1"/>
          <w:sz w:val="24"/>
          <w:szCs w:val="24"/>
        </w:rPr>
        <w:t>Everything appears to be satisfactory and compliance with the</w:t>
      </w:r>
      <w:r w:rsidR="00F72092" w:rsidRPr="00C9247A">
        <w:rPr>
          <w:rFonts w:ascii="Times New Roman" w:hAnsi="Times New Roman" w:cs="Times New Roman"/>
          <w:b w:val="0"/>
          <w:i/>
          <w:color w:val="000000" w:themeColor="text1"/>
          <w:sz w:val="24"/>
          <w:szCs w:val="24"/>
        </w:rPr>
        <w:t xml:space="preserve"> Act appears to be satisfactory’</w:t>
      </w:r>
      <w:r w:rsidR="00D528A1">
        <w:rPr>
          <w:rFonts w:ascii="Times New Roman" w:hAnsi="Times New Roman" w:cs="Times New Roman"/>
          <w:b w:val="0"/>
          <w:i/>
          <w:color w:val="000000" w:themeColor="text1"/>
          <w:sz w:val="24"/>
          <w:szCs w:val="24"/>
        </w:rPr>
        <w:t>.</w:t>
      </w:r>
      <w:r w:rsidRPr="00C9247A">
        <w:rPr>
          <w:rStyle w:val="FootnoteReference"/>
          <w:rFonts w:ascii="Times New Roman" w:hAnsi="Times New Roman" w:cs="Times New Roman"/>
          <w:b w:val="0"/>
          <w:i/>
          <w:color w:val="000000" w:themeColor="text1"/>
          <w:sz w:val="24"/>
          <w:szCs w:val="24"/>
        </w:rPr>
        <w:t xml:space="preserve"> </w:t>
      </w:r>
      <w:r w:rsidRPr="00C9247A">
        <w:rPr>
          <w:rStyle w:val="FootnoteReference"/>
          <w:rFonts w:ascii="Times New Roman" w:hAnsi="Times New Roman" w:cs="Times New Roman"/>
          <w:b w:val="0"/>
          <w:color w:val="000000" w:themeColor="text1"/>
          <w:sz w:val="24"/>
          <w:szCs w:val="24"/>
        </w:rPr>
        <w:footnoteReference w:id="9"/>
      </w:r>
      <w:bookmarkEnd w:id="13"/>
    </w:p>
    <w:p w:rsidR="001E3E7B" w:rsidRPr="00C9247A" w:rsidRDefault="001E3E7B" w:rsidP="00C9247A">
      <w:pPr>
        <w:pStyle w:val="Heading2"/>
        <w:numPr>
          <w:ilvl w:val="1"/>
          <w:numId w:val="21"/>
        </w:numPr>
        <w:ind w:left="567" w:hanging="567"/>
        <w:rPr>
          <w:rFonts w:ascii="Times New Roman" w:hAnsi="Times New Roman" w:cs="Times New Roman"/>
          <w:b w:val="0"/>
          <w:color w:val="000000" w:themeColor="text1"/>
          <w:sz w:val="24"/>
          <w:szCs w:val="24"/>
        </w:rPr>
      </w:pPr>
      <w:bookmarkStart w:id="14" w:name="_Toc339540834"/>
      <w:r w:rsidRPr="00C9247A">
        <w:rPr>
          <w:rFonts w:ascii="Times New Roman" w:hAnsi="Times New Roman" w:cs="Times New Roman"/>
          <w:b w:val="0"/>
          <w:color w:val="000000" w:themeColor="text1"/>
          <w:sz w:val="24"/>
          <w:szCs w:val="24"/>
        </w:rPr>
        <w:t xml:space="preserve">The Committee recommended that the Act be amended to include </w:t>
      </w:r>
      <w:r w:rsidRPr="00C9247A">
        <w:rPr>
          <w:rFonts w:ascii="Times New Roman" w:hAnsi="Times New Roman" w:cs="Times New Roman"/>
          <w:b w:val="0"/>
          <w:i/>
          <w:color w:val="000000" w:themeColor="text1"/>
          <w:sz w:val="24"/>
          <w:szCs w:val="24"/>
        </w:rPr>
        <w:t>‘the power to conduct spot checks of the electoral activities of the registered political parties’</w:t>
      </w:r>
      <w:r w:rsidRPr="00C9247A">
        <w:rPr>
          <w:rStyle w:val="FootnoteReference"/>
          <w:rFonts w:ascii="Times New Roman" w:hAnsi="Times New Roman" w:cs="Times New Roman"/>
          <w:b w:val="0"/>
          <w:color w:val="000000" w:themeColor="text1"/>
          <w:sz w:val="24"/>
          <w:szCs w:val="24"/>
        </w:rPr>
        <w:footnoteReference w:id="10"/>
      </w:r>
      <w:r w:rsidRPr="00C9247A">
        <w:rPr>
          <w:rFonts w:ascii="Times New Roman" w:hAnsi="Times New Roman" w:cs="Times New Roman"/>
          <w:b w:val="0"/>
          <w:i/>
          <w:color w:val="000000" w:themeColor="text1"/>
          <w:sz w:val="24"/>
          <w:szCs w:val="24"/>
        </w:rPr>
        <w:t xml:space="preserve">  </w:t>
      </w:r>
      <w:r w:rsidRPr="00C9247A">
        <w:rPr>
          <w:rFonts w:ascii="Times New Roman" w:hAnsi="Times New Roman" w:cs="Times New Roman"/>
          <w:b w:val="0"/>
          <w:color w:val="000000" w:themeColor="text1"/>
          <w:sz w:val="24"/>
          <w:szCs w:val="24"/>
        </w:rPr>
        <w:t>without first having to establ</w:t>
      </w:r>
      <w:r w:rsidR="001C256E" w:rsidRPr="00C9247A">
        <w:rPr>
          <w:rFonts w:ascii="Times New Roman" w:hAnsi="Times New Roman" w:cs="Times New Roman"/>
          <w:b w:val="0"/>
          <w:color w:val="000000" w:themeColor="text1"/>
          <w:sz w:val="24"/>
          <w:szCs w:val="24"/>
        </w:rPr>
        <w:t>ish that there were prior ‘reasonable grounds’</w:t>
      </w:r>
      <w:r w:rsidRPr="00C9247A">
        <w:rPr>
          <w:rFonts w:ascii="Times New Roman" w:hAnsi="Times New Roman" w:cs="Times New Roman"/>
          <w:b w:val="0"/>
          <w:color w:val="000000" w:themeColor="text1"/>
          <w:sz w:val="24"/>
          <w:szCs w:val="24"/>
        </w:rPr>
        <w:t xml:space="preserve"> to do so. This was against the background of debate about concerns by some members of the lack of knowledge of what some parties were not declaring. The JSCEM report noted that: </w:t>
      </w:r>
      <w:r w:rsidRPr="00C9247A">
        <w:rPr>
          <w:rFonts w:ascii="Times New Roman" w:hAnsi="Times New Roman" w:cs="Times New Roman"/>
          <w:b w:val="0"/>
          <w:i/>
          <w:color w:val="000000" w:themeColor="text1"/>
          <w:sz w:val="24"/>
          <w:szCs w:val="24"/>
        </w:rPr>
        <w:t>‘…the committee believes there is an alarming lack of information on sources of election funding of parties in federal elections and is of the view that brave steps must be taken to remedy this situation.’</w:t>
      </w:r>
      <w:r w:rsidRPr="00C9247A">
        <w:rPr>
          <w:rStyle w:val="FootnoteReference"/>
          <w:rFonts w:ascii="Times New Roman" w:hAnsi="Times New Roman" w:cs="Times New Roman"/>
          <w:b w:val="0"/>
          <w:color w:val="000000" w:themeColor="text1"/>
          <w:sz w:val="24"/>
          <w:szCs w:val="24"/>
        </w:rPr>
        <w:footnoteReference w:id="11"/>
      </w:r>
      <w:bookmarkEnd w:id="14"/>
      <w:r w:rsidRPr="00C9247A">
        <w:rPr>
          <w:rFonts w:ascii="Times New Roman" w:hAnsi="Times New Roman" w:cs="Times New Roman"/>
          <w:b w:val="0"/>
          <w:color w:val="000000" w:themeColor="text1"/>
          <w:sz w:val="24"/>
          <w:szCs w:val="24"/>
        </w:rPr>
        <w:t xml:space="preserve"> </w:t>
      </w:r>
    </w:p>
    <w:p w:rsidR="00C51FB3" w:rsidRDefault="00CE7ED0" w:rsidP="00C51FB3">
      <w:pPr>
        <w:pStyle w:val="Heading2"/>
        <w:numPr>
          <w:ilvl w:val="1"/>
          <w:numId w:val="21"/>
        </w:numPr>
        <w:ind w:left="567" w:hanging="567"/>
        <w:rPr>
          <w:rFonts w:ascii="Times New Roman" w:hAnsi="Times New Roman" w:cs="Times New Roman"/>
          <w:b w:val="0"/>
          <w:color w:val="000000" w:themeColor="text1"/>
          <w:sz w:val="24"/>
          <w:szCs w:val="24"/>
        </w:rPr>
      </w:pPr>
      <w:bookmarkStart w:id="15" w:name="_Toc339540835"/>
      <w:r w:rsidRPr="00C9247A">
        <w:rPr>
          <w:rFonts w:ascii="Times New Roman" w:hAnsi="Times New Roman" w:cs="Times New Roman"/>
          <w:b w:val="0"/>
          <w:color w:val="000000" w:themeColor="text1"/>
          <w:sz w:val="24"/>
          <w:szCs w:val="24"/>
        </w:rPr>
        <w:t>This provision has formed the basis for the Commission to dev</w:t>
      </w:r>
      <w:r w:rsidR="007D708B">
        <w:rPr>
          <w:rFonts w:ascii="Times New Roman" w:hAnsi="Times New Roman" w:cs="Times New Roman"/>
          <w:b w:val="0"/>
          <w:color w:val="000000" w:themeColor="text1"/>
          <w:sz w:val="24"/>
          <w:szCs w:val="24"/>
        </w:rPr>
        <w:t>elop and conduct the so called ‘</w:t>
      </w:r>
      <w:r w:rsidRPr="00C9247A">
        <w:rPr>
          <w:rFonts w:ascii="Times New Roman" w:hAnsi="Times New Roman" w:cs="Times New Roman"/>
          <w:b w:val="0"/>
          <w:color w:val="000000" w:themeColor="text1"/>
          <w:sz w:val="24"/>
          <w:szCs w:val="24"/>
        </w:rPr>
        <w:t>compliance rev</w:t>
      </w:r>
      <w:r w:rsidR="007D708B">
        <w:rPr>
          <w:rFonts w:ascii="Times New Roman" w:hAnsi="Times New Roman" w:cs="Times New Roman"/>
          <w:b w:val="0"/>
          <w:color w:val="000000" w:themeColor="text1"/>
          <w:sz w:val="24"/>
          <w:szCs w:val="24"/>
        </w:rPr>
        <w:t>iews’</w:t>
      </w:r>
      <w:r w:rsidRPr="00C9247A">
        <w:rPr>
          <w:rFonts w:ascii="Times New Roman" w:hAnsi="Times New Roman" w:cs="Times New Roman"/>
          <w:b w:val="0"/>
          <w:color w:val="000000" w:themeColor="text1"/>
          <w:sz w:val="24"/>
          <w:szCs w:val="24"/>
        </w:rPr>
        <w:t xml:space="preserve"> that have been undertaken continually since then.</w:t>
      </w:r>
      <w:bookmarkEnd w:id="15"/>
    </w:p>
    <w:p w:rsidR="005A1C56" w:rsidRPr="005A1C56" w:rsidRDefault="005A1C56" w:rsidP="005A1C56">
      <w:r>
        <w:br w:type="page"/>
      </w:r>
    </w:p>
    <w:p w:rsidR="008E7F28" w:rsidRPr="008E7F28" w:rsidRDefault="008E7F28" w:rsidP="008E7F28">
      <w:pPr>
        <w:pStyle w:val="Heading2"/>
        <w:rPr>
          <w:rFonts w:ascii="Times New Roman" w:hAnsi="Times New Roman" w:cs="Times New Roman"/>
          <w:color w:val="auto"/>
        </w:rPr>
      </w:pPr>
      <w:r w:rsidRPr="008E7F28">
        <w:rPr>
          <w:rFonts w:ascii="Times New Roman" w:hAnsi="Times New Roman" w:cs="Times New Roman"/>
          <w:color w:val="auto"/>
        </w:rPr>
        <w:lastRenderedPageBreak/>
        <w:t>Penalties – effectiveness as deterrents</w:t>
      </w:r>
    </w:p>
    <w:p w:rsidR="00496200" w:rsidRDefault="00496200" w:rsidP="008E7F28">
      <w:pPr>
        <w:pStyle w:val="Heading2"/>
        <w:numPr>
          <w:ilvl w:val="1"/>
          <w:numId w:val="21"/>
        </w:numPr>
        <w:ind w:left="567" w:hanging="567"/>
        <w:rPr>
          <w:rFonts w:ascii="Times New Roman" w:hAnsi="Times New Roman" w:cs="Times New Roman"/>
          <w:b w:val="0"/>
          <w:color w:val="auto"/>
          <w:sz w:val="24"/>
          <w:szCs w:val="24"/>
        </w:rPr>
      </w:pPr>
      <w:r w:rsidRPr="008E7F28">
        <w:rPr>
          <w:rFonts w:ascii="Times New Roman" w:hAnsi="Times New Roman" w:cs="Times New Roman"/>
          <w:b w:val="0"/>
          <w:color w:val="auto"/>
          <w:sz w:val="24"/>
          <w:szCs w:val="24"/>
        </w:rPr>
        <w:t>The Electoral Act contains a range of penalties</w:t>
      </w:r>
      <w:r w:rsidR="00CC4C4A" w:rsidRPr="008E7F28">
        <w:rPr>
          <w:rFonts w:ascii="Times New Roman" w:hAnsi="Times New Roman" w:cs="Times New Roman"/>
          <w:b w:val="0"/>
          <w:color w:val="auto"/>
          <w:sz w:val="24"/>
          <w:szCs w:val="24"/>
        </w:rPr>
        <w:t>.</w:t>
      </w:r>
      <w:r w:rsidR="00CE7ED0" w:rsidRPr="008E7F28">
        <w:rPr>
          <w:rStyle w:val="FootnoteReference"/>
          <w:rFonts w:ascii="Times New Roman" w:hAnsi="Times New Roman" w:cs="Times New Roman"/>
          <w:b w:val="0"/>
          <w:color w:val="auto"/>
          <w:sz w:val="24"/>
          <w:szCs w:val="24"/>
        </w:rPr>
        <w:footnoteReference w:id="12"/>
      </w:r>
      <w:r w:rsidRPr="008E7F28">
        <w:rPr>
          <w:rFonts w:ascii="Times New Roman" w:hAnsi="Times New Roman" w:cs="Times New Roman"/>
          <w:b w:val="0"/>
          <w:color w:val="auto"/>
          <w:sz w:val="24"/>
          <w:szCs w:val="24"/>
        </w:rPr>
        <w:t xml:space="preserve">  In summary they cover:</w:t>
      </w:r>
    </w:p>
    <w:p w:rsidR="007220B5" w:rsidRPr="007220B5" w:rsidRDefault="007220B5" w:rsidP="007220B5">
      <w:pPr>
        <w:spacing w:after="0"/>
      </w:pPr>
    </w:p>
    <w:p w:rsidR="00496200" w:rsidRPr="00F15E2D" w:rsidRDefault="00496200" w:rsidP="00496200">
      <w:pPr>
        <w:pStyle w:val="ListParagraph"/>
        <w:numPr>
          <w:ilvl w:val="0"/>
          <w:numId w:val="11"/>
        </w:numPr>
        <w:rPr>
          <w:rFonts w:ascii="Times New Roman" w:hAnsi="Times New Roman" w:cs="Times New Roman"/>
          <w:sz w:val="24"/>
          <w:szCs w:val="24"/>
        </w:rPr>
      </w:pPr>
      <w:r w:rsidRPr="00F15E2D">
        <w:rPr>
          <w:rFonts w:ascii="Times New Roman" w:hAnsi="Times New Roman" w:cs="Times New Roman"/>
          <w:sz w:val="24"/>
          <w:szCs w:val="24"/>
        </w:rPr>
        <w:t>Furnishes a return containing false, or misleading material</w:t>
      </w:r>
    </w:p>
    <w:p w:rsidR="00496200" w:rsidRDefault="00496200" w:rsidP="00496200">
      <w:pPr>
        <w:rPr>
          <w:rFonts w:ascii="Times New Roman" w:hAnsi="Times New Roman" w:cs="Times New Roman"/>
          <w:sz w:val="24"/>
          <w:szCs w:val="24"/>
        </w:rPr>
      </w:pPr>
      <w:r>
        <w:rPr>
          <w:rFonts w:ascii="Times New Roman" w:hAnsi="Times New Roman" w:cs="Times New Roman"/>
          <w:sz w:val="24"/>
          <w:szCs w:val="24"/>
        </w:rPr>
        <w:tab/>
      </w:r>
      <w:r w:rsidR="00C51FB3">
        <w:rPr>
          <w:rFonts w:ascii="Times New Roman" w:hAnsi="Times New Roman" w:cs="Times New Roman"/>
          <w:sz w:val="24"/>
          <w:szCs w:val="24"/>
        </w:rPr>
        <w:tab/>
      </w:r>
      <w:r w:rsidR="00C51FB3">
        <w:rPr>
          <w:rFonts w:ascii="Times New Roman" w:hAnsi="Times New Roman" w:cs="Times New Roman"/>
          <w:sz w:val="24"/>
          <w:szCs w:val="24"/>
        </w:rPr>
        <w:tab/>
      </w:r>
      <w:r>
        <w:rPr>
          <w:rFonts w:ascii="Times New Roman" w:hAnsi="Times New Roman" w:cs="Times New Roman"/>
          <w:sz w:val="24"/>
          <w:szCs w:val="24"/>
        </w:rPr>
        <w:t>Agent of a political party</w:t>
      </w:r>
      <w:r>
        <w:rPr>
          <w:rFonts w:ascii="Times New Roman" w:hAnsi="Times New Roman" w:cs="Times New Roman"/>
          <w:sz w:val="24"/>
          <w:szCs w:val="24"/>
        </w:rPr>
        <w:tab/>
        <w:t>Up to $10,000</w:t>
      </w:r>
    </w:p>
    <w:p w:rsidR="00496200" w:rsidRDefault="00496200" w:rsidP="00496200">
      <w:pPr>
        <w:rPr>
          <w:rFonts w:ascii="Times New Roman" w:hAnsi="Times New Roman" w:cs="Times New Roman"/>
          <w:sz w:val="24"/>
          <w:szCs w:val="24"/>
        </w:rPr>
      </w:pPr>
      <w:r>
        <w:rPr>
          <w:rFonts w:ascii="Times New Roman" w:hAnsi="Times New Roman" w:cs="Times New Roman"/>
          <w:sz w:val="24"/>
          <w:szCs w:val="24"/>
        </w:rPr>
        <w:tab/>
      </w:r>
      <w:r w:rsidR="00C51FB3">
        <w:rPr>
          <w:rFonts w:ascii="Times New Roman" w:hAnsi="Times New Roman" w:cs="Times New Roman"/>
          <w:sz w:val="24"/>
          <w:szCs w:val="24"/>
        </w:rPr>
        <w:tab/>
      </w:r>
      <w:r w:rsidR="00C51FB3">
        <w:rPr>
          <w:rFonts w:ascii="Times New Roman" w:hAnsi="Times New Roman" w:cs="Times New Roman"/>
          <w:sz w:val="24"/>
          <w:szCs w:val="24"/>
        </w:rPr>
        <w:tab/>
      </w:r>
      <w:r>
        <w:rPr>
          <w:rFonts w:ascii="Times New Roman" w:hAnsi="Times New Roman" w:cs="Times New Roman"/>
          <w:sz w:val="24"/>
          <w:szCs w:val="24"/>
        </w:rPr>
        <w:t>A person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Up to $5000</w:t>
      </w:r>
    </w:p>
    <w:p w:rsidR="00496200" w:rsidRPr="00F15E2D" w:rsidRDefault="00496200" w:rsidP="00496200">
      <w:pPr>
        <w:pStyle w:val="ListParagraph"/>
        <w:numPr>
          <w:ilvl w:val="0"/>
          <w:numId w:val="11"/>
        </w:numPr>
        <w:rPr>
          <w:rFonts w:ascii="Times New Roman" w:hAnsi="Times New Roman" w:cs="Times New Roman"/>
          <w:sz w:val="24"/>
          <w:szCs w:val="24"/>
        </w:rPr>
      </w:pPr>
      <w:r w:rsidRPr="00F15E2D">
        <w:rPr>
          <w:rFonts w:ascii="Times New Roman" w:hAnsi="Times New Roman" w:cs="Times New Roman"/>
          <w:sz w:val="24"/>
          <w:szCs w:val="24"/>
        </w:rPr>
        <w:t>Failure to lodge a return within the time allowed</w:t>
      </w:r>
    </w:p>
    <w:p w:rsidR="00496200" w:rsidRDefault="00496200" w:rsidP="00496200">
      <w:pPr>
        <w:rPr>
          <w:rFonts w:ascii="Times New Roman" w:hAnsi="Times New Roman" w:cs="Times New Roman"/>
          <w:sz w:val="24"/>
          <w:szCs w:val="24"/>
        </w:rPr>
      </w:pPr>
      <w:r>
        <w:rPr>
          <w:rFonts w:ascii="Times New Roman" w:hAnsi="Times New Roman" w:cs="Times New Roman"/>
          <w:sz w:val="24"/>
          <w:szCs w:val="24"/>
        </w:rPr>
        <w:tab/>
      </w:r>
      <w:r w:rsidR="00C51FB3">
        <w:rPr>
          <w:rFonts w:ascii="Times New Roman" w:hAnsi="Times New Roman" w:cs="Times New Roman"/>
          <w:sz w:val="24"/>
          <w:szCs w:val="24"/>
        </w:rPr>
        <w:tab/>
      </w:r>
      <w:r w:rsidR="00C51FB3">
        <w:rPr>
          <w:rFonts w:ascii="Times New Roman" w:hAnsi="Times New Roman" w:cs="Times New Roman"/>
          <w:sz w:val="24"/>
          <w:szCs w:val="24"/>
        </w:rPr>
        <w:tab/>
      </w:r>
      <w:r>
        <w:rPr>
          <w:rFonts w:ascii="Times New Roman" w:hAnsi="Times New Roman" w:cs="Times New Roman"/>
          <w:sz w:val="24"/>
          <w:szCs w:val="24"/>
        </w:rPr>
        <w:t>Political party or branch</w:t>
      </w:r>
      <w:r>
        <w:rPr>
          <w:rFonts w:ascii="Times New Roman" w:hAnsi="Times New Roman" w:cs="Times New Roman"/>
          <w:sz w:val="24"/>
          <w:szCs w:val="24"/>
        </w:rPr>
        <w:tab/>
        <w:t>$5000</w:t>
      </w:r>
    </w:p>
    <w:p w:rsidR="00496200" w:rsidRDefault="00496200" w:rsidP="00496200">
      <w:pPr>
        <w:rPr>
          <w:rFonts w:ascii="Times New Roman" w:hAnsi="Times New Roman" w:cs="Times New Roman"/>
          <w:sz w:val="24"/>
          <w:szCs w:val="24"/>
        </w:rPr>
      </w:pPr>
      <w:r>
        <w:rPr>
          <w:rFonts w:ascii="Times New Roman" w:hAnsi="Times New Roman" w:cs="Times New Roman"/>
          <w:sz w:val="24"/>
          <w:szCs w:val="24"/>
        </w:rPr>
        <w:tab/>
      </w:r>
      <w:r w:rsidR="00C51FB3">
        <w:rPr>
          <w:rFonts w:ascii="Times New Roman" w:hAnsi="Times New Roman" w:cs="Times New Roman"/>
          <w:sz w:val="24"/>
          <w:szCs w:val="24"/>
        </w:rPr>
        <w:tab/>
      </w:r>
      <w:r w:rsidR="00C51FB3">
        <w:rPr>
          <w:rFonts w:ascii="Times New Roman" w:hAnsi="Times New Roman" w:cs="Times New Roman"/>
          <w:sz w:val="24"/>
          <w:szCs w:val="24"/>
        </w:rPr>
        <w:tab/>
      </w:r>
      <w:r>
        <w:rPr>
          <w:rFonts w:ascii="Times New Roman" w:hAnsi="Times New Roman" w:cs="Times New Roman"/>
          <w:sz w:val="24"/>
          <w:szCs w:val="24"/>
        </w:rPr>
        <w:t>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A376D9" w:rsidRDefault="00496200" w:rsidP="00A376D9">
      <w:pPr>
        <w:ind w:firstLine="720"/>
        <w:rPr>
          <w:rFonts w:ascii="Times New Roman" w:hAnsi="Times New Roman" w:cs="Times New Roman"/>
          <w:sz w:val="24"/>
          <w:szCs w:val="24"/>
        </w:rPr>
      </w:pPr>
      <w:r>
        <w:rPr>
          <w:rFonts w:ascii="Times New Roman" w:hAnsi="Times New Roman" w:cs="Times New Roman"/>
          <w:sz w:val="24"/>
          <w:szCs w:val="24"/>
        </w:rPr>
        <w:t xml:space="preserve">If convicted and there is a continued failure to lodge a return, fresh convictions can </w:t>
      </w:r>
      <w:r>
        <w:rPr>
          <w:rFonts w:ascii="Times New Roman" w:hAnsi="Times New Roman" w:cs="Times New Roman"/>
          <w:sz w:val="24"/>
          <w:szCs w:val="24"/>
        </w:rPr>
        <w:tab/>
        <w:t>be sought; the maximum penalty for each furthe</w:t>
      </w:r>
      <w:r w:rsidR="00C51FB3">
        <w:rPr>
          <w:rFonts w:ascii="Times New Roman" w:hAnsi="Times New Roman" w:cs="Times New Roman"/>
          <w:sz w:val="24"/>
          <w:szCs w:val="24"/>
        </w:rPr>
        <w:t>r conviction being a fine not</w:t>
      </w:r>
      <w:r w:rsidR="00C51FB3">
        <w:rPr>
          <w:rFonts w:ascii="Times New Roman" w:hAnsi="Times New Roman" w:cs="Times New Roman"/>
          <w:sz w:val="24"/>
          <w:szCs w:val="24"/>
        </w:rPr>
        <w:tab/>
      </w:r>
      <w:r w:rsidR="00C51FB3">
        <w:rPr>
          <w:rFonts w:ascii="Times New Roman" w:hAnsi="Times New Roman" w:cs="Times New Roman"/>
          <w:sz w:val="24"/>
          <w:szCs w:val="24"/>
        </w:rPr>
        <w:tab/>
      </w:r>
      <w:r>
        <w:rPr>
          <w:rFonts w:ascii="Times New Roman" w:hAnsi="Times New Roman" w:cs="Times New Roman"/>
          <w:sz w:val="24"/>
          <w:szCs w:val="24"/>
        </w:rPr>
        <w:t>exceeding $100</w:t>
      </w:r>
      <w:r w:rsidR="009B1EF3">
        <w:rPr>
          <w:rFonts w:ascii="Times New Roman" w:hAnsi="Times New Roman" w:cs="Times New Roman"/>
          <w:sz w:val="24"/>
          <w:szCs w:val="24"/>
        </w:rPr>
        <w:t xml:space="preserve"> per day</w:t>
      </w:r>
      <w:r w:rsidR="00C51FB3">
        <w:rPr>
          <w:rFonts w:ascii="Times New Roman" w:hAnsi="Times New Roman" w:cs="Times New Roman"/>
          <w:sz w:val="24"/>
          <w:szCs w:val="24"/>
        </w:rPr>
        <w:t>.</w:t>
      </w:r>
    </w:p>
    <w:p w:rsidR="00132A50" w:rsidRPr="00132A50" w:rsidRDefault="00496200" w:rsidP="00132A50">
      <w:pPr>
        <w:pStyle w:val="Heading2"/>
        <w:numPr>
          <w:ilvl w:val="1"/>
          <w:numId w:val="21"/>
        </w:numPr>
        <w:ind w:left="567" w:hanging="567"/>
        <w:rPr>
          <w:rFonts w:ascii="Times New Roman" w:hAnsi="Times New Roman" w:cs="Times New Roman"/>
          <w:b w:val="0"/>
          <w:color w:val="000000" w:themeColor="text1"/>
          <w:sz w:val="24"/>
          <w:szCs w:val="24"/>
        </w:rPr>
      </w:pPr>
      <w:bookmarkStart w:id="16" w:name="_Toc339540837"/>
      <w:r w:rsidRPr="00C9247A">
        <w:rPr>
          <w:rFonts w:ascii="Times New Roman" w:hAnsi="Times New Roman" w:cs="Times New Roman"/>
          <w:b w:val="0"/>
          <w:color w:val="000000" w:themeColor="text1"/>
          <w:sz w:val="24"/>
          <w:szCs w:val="24"/>
        </w:rPr>
        <w:t xml:space="preserve">As with most penalty regimes the scale of penalties applied under the Electoral Act </w:t>
      </w:r>
      <w:r w:rsidR="00C51FB3">
        <w:rPr>
          <w:rFonts w:ascii="Times New Roman" w:hAnsi="Times New Roman" w:cs="Times New Roman"/>
          <w:b w:val="0"/>
          <w:color w:val="000000" w:themeColor="text1"/>
          <w:sz w:val="24"/>
          <w:szCs w:val="24"/>
        </w:rPr>
        <w:t>was initially</w:t>
      </w:r>
      <w:r w:rsidRPr="00C9247A">
        <w:rPr>
          <w:rFonts w:ascii="Times New Roman" w:hAnsi="Times New Roman" w:cs="Times New Roman"/>
          <w:b w:val="0"/>
          <w:color w:val="000000" w:themeColor="text1"/>
          <w:sz w:val="24"/>
          <w:szCs w:val="24"/>
        </w:rPr>
        <w:t xml:space="preserve"> graded to reflect the degree of seriousness of the various offences.  Penalties serve two purposes; they punish the wrong doers and also act as a deterrent to others.</w:t>
      </w:r>
      <w:bookmarkEnd w:id="16"/>
      <w:r w:rsidRPr="00A376D9">
        <w:rPr>
          <w:rFonts w:ascii="Times New Roman" w:hAnsi="Times New Roman" w:cs="Times New Roman"/>
          <w:b w:val="0"/>
          <w:color w:val="000000" w:themeColor="text1"/>
          <w:sz w:val="24"/>
          <w:szCs w:val="24"/>
        </w:rPr>
        <w:t xml:space="preserve"> </w:t>
      </w:r>
    </w:p>
    <w:p w:rsidR="00132A50" w:rsidRPr="00132A50" w:rsidRDefault="00496200" w:rsidP="00132A50">
      <w:pPr>
        <w:pStyle w:val="Heading2"/>
        <w:numPr>
          <w:ilvl w:val="1"/>
          <w:numId w:val="21"/>
        </w:numPr>
        <w:ind w:left="567" w:hanging="567"/>
        <w:rPr>
          <w:rFonts w:ascii="Times New Roman" w:hAnsi="Times New Roman" w:cs="Times New Roman"/>
          <w:b w:val="0"/>
          <w:color w:val="000000" w:themeColor="text1"/>
          <w:sz w:val="24"/>
          <w:szCs w:val="24"/>
        </w:rPr>
      </w:pPr>
      <w:bookmarkStart w:id="17" w:name="_Toc339540838"/>
      <w:r w:rsidRPr="00C9247A">
        <w:rPr>
          <w:rFonts w:ascii="Times New Roman" w:hAnsi="Times New Roman" w:cs="Times New Roman"/>
          <w:b w:val="0"/>
          <w:color w:val="000000" w:themeColor="text1"/>
          <w:sz w:val="24"/>
          <w:szCs w:val="24"/>
        </w:rPr>
        <w:t>It is unfortunate that the penalties have</w:t>
      </w:r>
      <w:r w:rsidR="00031DF9" w:rsidRPr="00C9247A">
        <w:rPr>
          <w:rFonts w:ascii="Times New Roman" w:hAnsi="Times New Roman" w:cs="Times New Roman"/>
          <w:b w:val="0"/>
          <w:color w:val="000000" w:themeColor="text1"/>
          <w:sz w:val="24"/>
          <w:szCs w:val="24"/>
        </w:rPr>
        <w:t xml:space="preserve"> basically</w:t>
      </w:r>
      <w:r w:rsidRPr="00C9247A">
        <w:rPr>
          <w:rFonts w:ascii="Times New Roman" w:hAnsi="Times New Roman" w:cs="Times New Roman"/>
          <w:b w:val="0"/>
          <w:color w:val="000000" w:themeColor="text1"/>
          <w:sz w:val="24"/>
          <w:szCs w:val="24"/>
        </w:rPr>
        <w:t xml:space="preserve"> remained unaltered since the legislation on public funding and public disclosure of election funding was first introduced in 198</w:t>
      </w:r>
      <w:r w:rsidR="009B1EF3" w:rsidRPr="00C9247A">
        <w:rPr>
          <w:rFonts w:ascii="Times New Roman" w:hAnsi="Times New Roman" w:cs="Times New Roman"/>
          <w:b w:val="0"/>
          <w:color w:val="000000" w:themeColor="text1"/>
          <w:sz w:val="24"/>
          <w:szCs w:val="24"/>
        </w:rPr>
        <w:t>3</w:t>
      </w:r>
      <w:r w:rsidRPr="00C9247A">
        <w:rPr>
          <w:rFonts w:ascii="Times New Roman" w:hAnsi="Times New Roman" w:cs="Times New Roman"/>
          <w:b w:val="0"/>
          <w:color w:val="000000" w:themeColor="text1"/>
          <w:sz w:val="24"/>
          <w:szCs w:val="24"/>
        </w:rPr>
        <w:t xml:space="preserve">, despite a number of efforts on the part of the </w:t>
      </w:r>
      <w:r w:rsidR="00DE4D2A" w:rsidRPr="00C9247A">
        <w:rPr>
          <w:rFonts w:ascii="Times New Roman" w:hAnsi="Times New Roman" w:cs="Times New Roman"/>
          <w:b w:val="0"/>
          <w:color w:val="000000" w:themeColor="text1"/>
          <w:sz w:val="24"/>
          <w:szCs w:val="24"/>
        </w:rPr>
        <w:t>Commission</w:t>
      </w:r>
      <w:r w:rsidRPr="00C9247A">
        <w:rPr>
          <w:rFonts w:ascii="Times New Roman" w:hAnsi="Times New Roman" w:cs="Times New Roman"/>
          <w:b w:val="0"/>
          <w:color w:val="000000" w:themeColor="text1"/>
          <w:sz w:val="24"/>
          <w:szCs w:val="24"/>
        </w:rPr>
        <w:t>, at times with support from the Joint Parliamentary Committee, to have them updated</w:t>
      </w:r>
      <w:r w:rsidR="00DF5E1B">
        <w:rPr>
          <w:rFonts w:ascii="Times New Roman" w:hAnsi="Times New Roman" w:cs="Times New Roman"/>
          <w:b w:val="0"/>
          <w:color w:val="000000" w:themeColor="text1"/>
          <w:sz w:val="24"/>
          <w:szCs w:val="24"/>
        </w:rPr>
        <w:t>.</w:t>
      </w:r>
      <w:r w:rsidR="00031DF9" w:rsidRPr="00C9247A">
        <w:rPr>
          <w:rStyle w:val="FootnoteReference"/>
          <w:rFonts w:ascii="Times New Roman" w:hAnsi="Times New Roman" w:cs="Times New Roman"/>
          <w:b w:val="0"/>
          <w:color w:val="000000" w:themeColor="text1"/>
          <w:sz w:val="24"/>
          <w:szCs w:val="24"/>
        </w:rPr>
        <w:footnoteReference w:id="13"/>
      </w:r>
      <w:bookmarkEnd w:id="17"/>
      <w:r w:rsidRPr="00C9247A">
        <w:rPr>
          <w:rFonts w:ascii="Times New Roman" w:hAnsi="Times New Roman" w:cs="Times New Roman"/>
          <w:b w:val="0"/>
          <w:color w:val="000000" w:themeColor="text1"/>
          <w:sz w:val="24"/>
          <w:szCs w:val="24"/>
        </w:rPr>
        <w:t xml:space="preserve">  </w:t>
      </w:r>
    </w:p>
    <w:p w:rsidR="00132A50" w:rsidRPr="00132A50" w:rsidRDefault="00C079F0" w:rsidP="00132A50">
      <w:pPr>
        <w:pStyle w:val="Heading2"/>
        <w:numPr>
          <w:ilvl w:val="1"/>
          <w:numId w:val="21"/>
        </w:numPr>
        <w:ind w:left="567" w:hanging="567"/>
        <w:rPr>
          <w:rFonts w:ascii="Times New Roman" w:hAnsi="Times New Roman" w:cs="Times New Roman"/>
          <w:b w:val="0"/>
          <w:color w:val="000000" w:themeColor="text1"/>
          <w:sz w:val="24"/>
          <w:szCs w:val="24"/>
        </w:rPr>
      </w:pPr>
      <w:bookmarkStart w:id="18" w:name="_Toc339540839"/>
      <w:r w:rsidRPr="00C9247A">
        <w:rPr>
          <w:rFonts w:ascii="Times New Roman" w:hAnsi="Times New Roman" w:cs="Times New Roman"/>
          <w:b w:val="0"/>
          <w:color w:val="000000" w:themeColor="text1"/>
          <w:sz w:val="24"/>
          <w:szCs w:val="24"/>
        </w:rPr>
        <w:t>Accordingly, t</w:t>
      </w:r>
      <w:r w:rsidR="00496200" w:rsidRPr="00C9247A">
        <w:rPr>
          <w:rFonts w:ascii="Times New Roman" w:hAnsi="Times New Roman" w:cs="Times New Roman"/>
          <w:b w:val="0"/>
          <w:color w:val="000000" w:themeColor="text1"/>
          <w:sz w:val="24"/>
          <w:szCs w:val="24"/>
        </w:rPr>
        <w:t xml:space="preserve">he deterrent effect of the </w:t>
      </w:r>
      <w:r w:rsidR="002D5BC4" w:rsidRPr="00C9247A">
        <w:rPr>
          <w:rFonts w:ascii="Times New Roman" w:hAnsi="Times New Roman" w:cs="Times New Roman"/>
          <w:b w:val="0"/>
          <w:color w:val="000000" w:themeColor="text1"/>
          <w:sz w:val="24"/>
          <w:szCs w:val="24"/>
        </w:rPr>
        <w:t xml:space="preserve">current </w:t>
      </w:r>
      <w:r w:rsidR="00873E6B" w:rsidRPr="00C9247A">
        <w:rPr>
          <w:rFonts w:ascii="Times New Roman" w:hAnsi="Times New Roman" w:cs="Times New Roman"/>
          <w:b w:val="0"/>
          <w:color w:val="000000" w:themeColor="text1"/>
          <w:sz w:val="24"/>
          <w:szCs w:val="24"/>
        </w:rPr>
        <w:t xml:space="preserve">low level of the </w:t>
      </w:r>
      <w:r w:rsidR="00496200" w:rsidRPr="00C9247A">
        <w:rPr>
          <w:rFonts w:ascii="Times New Roman" w:hAnsi="Times New Roman" w:cs="Times New Roman"/>
          <w:b w:val="0"/>
          <w:color w:val="000000" w:themeColor="text1"/>
          <w:sz w:val="24"/>
          <w:szCs w:val="24"/>
        </w:rPr>
        <w:t>penalties in discouraging non-disclosure</w:t>
      </w:r>
      <w:r w:rsidR="00873E6B" w:rsidRPr="00C9247A">
        <w:rPr>
          <w:rFonts w:ascii="Times New Roman" w:hAnsi="Times New Roman" w:cs="Times New Roman"/>
          <w:b w:val="0"/>
          <w:color w:val="000000" w:themeColor="text1"/>
          <w:sz w:val="24"/>
          <w:szCs w:val="24"/>
        </w:rPr>
        <w:t xml:space="preserve"> is arguably</w:t>
      </w:r>
      <w:r w:rsidR="00496200" w:rsidRPr="00C9247A">
        <w:rPr>
          <w:rFonts w:ascii="Times New Roman" w:hAnsi="Times New Roman" w:cs="Times New Roman"/>
          <w:b w:val="0"/>
          <w:color w:val="000000" w:themeColor="text1"/>
          <w:sz w:val="24"/>
          <w:szCs w:val="24"/>
        </w:rPr>
        <w:t xml:space="preserve"> negligible.  </w:t>
      </w:r>
      <w:r w:rsidR="00555B79">
        <w:rPr>
          <w:rFonts w:ascii="Times New Roman" w:hAnsi="Times New Roman" w:cs="Times New Roman"/>
          <w:b w:val="0"/>
          <w:color w:val="000000" w:themeColor="text1"/>
          <w:sz w:val="24"/>
          <w:szCs w:val="24"/>
        </w:rPr>
        <w:t>T</w:t>
      </w:r>
      <w:r w:rsidR="00496200" w:rsidRPr="00C9247A">
        <w:rPr>
          <w:rFonts w:ascii="Times New Roman" w:hAnsi="Times New Roman" w:cs="Times New Roman"/>
          <w:b w:val="0"/>
          <w:color w:val="000000" w:themeColor="text1"/>
          <w:sz w:val="24"/>
          <w:szCs w:val="24"/>
        </w:rPr>
        <w:t>he likelihood that public exposure would be detrimental to the reputation of the people or organisations concerned</w:t>
      </w:r>
      <w:r w:rsidR="00555B79">
        <w:rPr>
          <w:rFonts w:ascii="Times New Roman" w:hAnsi="Times New Roman" w:cs="Times New Roman"/>
          <w:b w:val="0"/>
          <w:color w:val="000000" w:themeColor="text1"/>
          <w:sz w:val="24"/>
          <w:szCs w:val="24"/>
        </w:rPr>
        <w:t xml:space="preserve"> </w:t>
      </w:r>
      <w:r w:rsidR="00555B79" w:rsidRPr="00C9247A">
        <w:rPr>
          <w:rFonts w:ascii="Times New Roman" w:hAnsi="Times New Roman" w:cs="Times New Roman"/>
          <w:b w:val="0"/>
          <w:color w:val="000000" w:themeColor="text1"/>
          <w:sz w:val="24"/>
          <w:szCs w:val="24"/>
        </w:rPr>
        <w:t xml:space="preserve">is of stronger value </w:t>
      </w:r>
      <w:r w:rsidR="00555B79">
        <w:rPr>
          <w:rFonts w:ascii="Times New Roman" w:hAnsi="Times New Roman" w:cs="Times New Roman"/>
          <w:b w:val="0"/>
          <w:color w:val="000000" w:themeColor="text1"/>
          <w:sz w:val="24"/>
          <w:szCs w:val="24"/>
        </w:rPr>
        <w:t>as a disincentive to offend</w:t>
      </w:r>
      <w:r w:rsidR="00496200" w:rsidRPr="00C9247A">
        <w:rPr>
          <w:rFonts w:ascii="Times New Roman" w:hAnsi="Times New Roman" w:cs="Times New Roman"/>
          <w:b w:val="0"/>
          <w:color w:val="000000" w:themeColor="text1"/>
          <w:sz w:val="24"/>
          <w:szCs w:val="24"/>
        </w:rPr>
        <w:t>.</w:t>
      </w:r>
      <w:bookmarkEnd w:id="18"/>
      <w:r w:rsidR="00496200" w:rsidRPr="00C9247A">
        <w:rPr>
          <w:rFonts w:ascii="Times New Roman" w:hAnsi="Times New Roman" w:cs="Times New Roman"/>
          <w:b w:val="0"/>
          <w:color w:val="000000" w:themeColor="text1"/>
          <w:sz w:val="24"/>
          <w:szCs w:val="24"/>
        </w:rPr>
        <w:t xml:space="preserve"> </w:t>
      </w:r>
    </w:p>
    <w:p w:rsidR="005A1C56" w:rsidRDefault="00A376D9" w:rsidP="005A1C56">
      <w:pPr>
        <w:pStyle w:val="Heading2"/>
        <w:numPr>
          <w:ilvl w:val="1"/>
          <w:numId w:val="21"/>
        </w:numPr>
        <w:ind w:left="567" w:hanging="567"/>
        <w:rPr>
          <w:rFonts w:ascii="Times New Roman" w:hAnsi="Times New Roman" w:cs="Times New Roman"/>
          <w:b w:val="0"/>
          <w:color w:val="000000" w:themeColor="text1"/>
          <w:sz w:val="24"/>
          <w:szCs w:val="24"/>
        </w:rPr>
      </w:pPr>
      <w:bookmarkStart w:id="19" w:name="_Toc339540840"/>
      <w:r w:rsidRPr="00C9247A">
        <w:rPr>
          <w:rFonts w:ascii="Times New Roman" w:hAnsi="Times New Roman" w:cs="Times New Roman"/>
          <w:b w:val="0"/>
          <w:color w:val="000000" w:themeColor="text1"/>
          <w:sz w:val="24"/>
          <w:szCs w:val="24"/>
        </w:rPr>
        <w:t xml:space="preserve">Governments and the Parliamentary Electoral Committee historically seem to have been less than enthusiastic in supporting the setting of high penalties in relation to electoral funding and disclosure for a deterrent effect.  </w:t>
      </w:r>
    </w:p>
    <w:p w:rsidR="003529B9" w:rsidRPr="003529B9" w:rsidRDefault="003529B9" w:rsidP="003529B9"/>
    <w:p w:rsidR="003529B9" w:rsidRPr="003529B9" w:rsidRDefault="003529B9" w:rsidP="003529B9"/>
    <w:p w:rsidR="003529B9" w:rsidRDefault="003529B9" w:rsidP="009B6DCA"/>
    <w:p w:rsidR="009B6DCA" w:rsidRPr="003529B9" w:rsidRDefault="009B6DCA" w:rsidP="003529B9">
      <w:pPr>
        <w:tabs>
          <w:tab w:val="left" w:pos="954"/>
        </w:tabs>
      </w:pPr>
    </w:p>
    <w:p w:rsidR="00132A50" w:rsidRPr="00856254" w:rsidRDefault="00A376D9" w:rsidP="00856254">
      <w:pPr>
        <w:pStyle w:val="Heading2"/>
        <w:numPr>
          <w:ilvl w:val="1"/>
          <w:numId w:val="21"/>
        </w:numPr>
        <w:ind w:left="567" w:hanging="567"/>
        <w:rPr>
          <w:rFonts w:ascii="Times New Roman" w:hAnsi="Times New Roman" w:cs="Times New Roman"/>
          <w:b w:val="0"/>
          <w:color w:val="000000" w:themeColor="text1"/>
          <w:sz w:val="24"/>
          <w:szCs w:val="24"/>
        </w:rPr>
      </w:pPr>
      <w:r w:rsidRPr="00C9247A">
        <w:rPr>
          <w:rFonts w:ascii="Times New Roman" w:hAnsi="Times New Roman" w:cs="Times New Roman"/>
          <w:b w:val="0"/>
          <w:color w:val="000000" w:themeColor="text1"/>
          <w:sz w:val="24"/>
          <w:szCs w:val="24"/>
        </w:rPr>
        <w:lastRenderedPageBreak/>
        <w:t>Currently there is a bill (the Commonwealth Electoral Amendment (Political Donations and Other Measures) Bill 2010)</w:t>
      </w:r>
      <w:r w:rsidRPr="00E35047">
        <w:rPr>
          <w:rFonts w:ascii="Times New Roman" w:hAnsi="Times New Roman" w:cs="Times New Roman"/>
          <w:b w:val="0"/>
          <w:color w:val="000000" w:themeColor="text1"/>
          <w:sz w:val="24"/>
          <w:szCs w:val="24"/>
        </w:rPr>
        <w:t xml:space="preserve"> that in November 2010 passed through the House of Representatives and is awaiting listing for debate in the Senate.</w:t>
      </w:r>
      <w:r w:rsidRPr="00C9247A">
        <w:rPr>
          <w:rStyle w:val="FootnoteReference"/>
          <w:rFonts w:ascii="Times New Roman" w:hAnsi="Times New Roman" w:cs="Times New Roman"/>
          <w:b w:val="0"/>
          <w:color w:val="000000" w:themeColor="text1"/>
          <w:sz w:val="24"/>
          <w:szCs w:val="24"/>
        </w:rPr>
        <w:footnoteReference w:id="14"/>
      </w:r>
      <w:r w:rsidRPr="00E35047">
        <w:rPr>
          <w:rFonts w:ascii="Times New Roman" w:hAnsi="Times New Roman" w:cs="Times New Roman"/>
          <w:b w:val="0"/>
          <w:color w:val="000000" w:themeColor="text1"/>
          <w:sz w:val="24"/>
          <w:szCs w:val="24"/>
        </w:rPr>
        <w:t xml:space="preserve"> </w:t>
      </w:r>
      <w:r w:rsidRPr="00856254">
        <w:rPr>
          <w:rFonts w:ascii="Times New Roman" w:hAnsi="Times New Roman" w:cs="Times New Roman"/>
          <w:b w:val="0"/>
          <w:color w:val="000000" w:themeColor="text1"/>
          <w:sz w:val="24"/>
          <w:szCs w:val="24"/>
        </w:rPr>
        <w:t>It includes amendments that if passed will lift substantially the penalties for breaches of the disclosure provisions.</w:t>
      </w:r>
      <w:bookmarkEnd w:id="19"/>
      <w:r w:rsidRPr="00856254">
        <w:rPr>
          <w:rFonts w:ascii="Times New Roman" w:hAnsi="Times New Roman" w:cs="Times New Roman"/>
          <w:b w:val="0"/>
          <w:color w:val="000000" w:themeColor="text1"/>
          <w:sz w:val="24"/>
          <w:szCs w:val="24"/>
        </w:rPr>
        <w:t xml:space="preserve">  </w:t>
      </w:r>
    </w:p>
    <w:p w:rsidR="007220B5" w:rsidRPr="007220B5" w:rsidRDefault="00496200"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20" w:name="_Toc339540841"/>
      <w:r w:rsidRPr="00DE6E1C">
        <w:rPr>
          <w:rFonts w:ascii="Times New Roman" w:hAnsi="Times New Roman" w:cs="Times New Roman"/>
          <w:b w:val="0"/>
          <w:color w:val="000000" w:themeColor="text1"/>
          <w:sz w:val="24"/>
          <w:szCs w:val="24"/>
        </w:rPr>
        <w:t>Against this background it remains problematic when the penalties will be updated.  In the meantime their deterrent value continues to decline.</w:t>
      </w:r>
      <w:bookmarkEnd w:id="20"/>
      <w:r w:rsidRPr="00DE6E1C">
        <w:rPr>
          <w:rFonts w:ascii="Times New Roman" w:hAnsi="Times New Roman" w:cs="Times New Roman"/>
          <w:b w:val="0"/>
          <w:color w:val="000000" w:themeColor="text1"/>
          <w:sz w:val="24"/>
          <w:szCs w:val="24"/>
        </w:rPr>
        <w:t xml:space="preserve">  </w:t>
      </w:r>
    </w:p>
    <w:p w:rsidR="007220B5" w:rsidRPr="007220B5" w:rsidRDefault="00873E6B"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21" w:name="_Toc339540842"/>
      <w:r w:rsidRPr="00C9247A">
        <w:rPr>
          <w:rFonts w:ascii="Times New Roman" w:hAnsi="Times New Roman" w:cs="Times New Roman"/>
          <w:b w:val="0"/>
          <w:color w:val="000000" w:themeColor="text1"/>
          <w:sz w:val="24"/>
          <w:szCs w:val="24"/>
        </w:rPr>
        <w:t xml:space="preserve">Substantial funds are donated to political parties. </w:t>
      </w:r>
      <w:r w:rsidR="00897F63" w:rsidRPr="00C9247A">
        <w:rPr>
          <w:rFonts w:ascii="Times New Roman" w:hAnsi="Times New Roman" w:cs="Times New Roman"/>
          <w:b w:val="0"/>
          <w:color w:val="000000" w:themeColor="text1"/>
          <w:sz w:val="24"/>
          <w:szCs w:val="24"/>
        </w:rPr>
        <w:t>The most recent returns, in a non-election year when donations are usually lower, revealed that 353 donors completed returns showing donations</w:t>
      </w:r>
      <w:r w:rsidR="0089204D" w:rsidRPr="00C9247A">
        <w:rPr>
          <w:rFonts w:ascii="Times New Roman" w:hAnsi="Times New Roman" w:cs="Times New Roman"/>
          <w:b w:val="0"/>
          <w:color w:val="000000" w:themeColor="text1"/>
          <w:sz w:val="24"/>
          <w:szCs w:val="24"/>
        </w:rPr>
        <w:t xml:space="preserve"> to political parties above the </w:t>
      </w:r>
      <w:r w:rsidRPr="00C9247A">
        <w:rPr>
          <w:rFonts w:ascii="Times New Roman" w:hAnsi="Times New Roman" w:cs="Times New Roman"/>
          <w:b w:val="0"/>
          <w:color w:val="000000" w:themeColor="text1"/>
          <w:sz w:val="24"/>
          <w:szCs w:val="24"/>
        </w:rPr>
        <w:t xml:space="preserve">minimum </w:t>
      </w:r>
      <w:r w:rsidR="0089204D" w:rsidRPr="00C9247A">
        <w:rPr>
          <w:rFonts w:ascii="Times New Roman" w:hAnsi="Times New Roman" w:cs="Times New Roman"/>
          <w:b w:val="0"/>
          <w:color w:val="000000" w:themeColor="text1"/>
          <w:sz w:val="24"/>
          <w:szCs w:val="24"/>
        </w:rPr>
        <w:t>threshold</w:t>
      </w:r>
      <w:r w:rsidR="00897F63" w:rsidRPr="00C9247A">
        <w:rPr>
          <w:rFonts w:ascii="Times New Roman" w:hAnsi="Times New Roman" w:cs="Times New Roman"/>
          <w:b w:val="0"/>
          <w:color w:val="000000" w:themeColor="text1"/>
          <w:sz w:val="24"/>
          <w:szCs w:val="24"/>
        </w:rPr>
        <w:t xml:space="preserve"> </w:t>
      </w:r>
      <w:r w:rsidRPr="00C9247A">
        <w:rPr>
          <w:rFonts w:ascii="Times New Roman" w:hAnsi="Times New Roman" w:cs="Times New Roman"/>
          <w:b w:val="0"/>
          <w:color w:val="000000" w:themeColor="text1"/>
          <w:sz w:val="24"/>
          <w:szCs w:val="24"/>
        </w:rPr>
        <w:t xml:space="preserve">for disclosure ($11 </w:t>
      </w:r>
      <w:r w:rsidR="00245E37" w:rsidRPr="00C9247A">
        <w:rPr>
          <w:rFonts w:ascii="Times New Roman" w:hAnsi="Times New Roman" w:cs="Times New Roman"/>
          <w:b w:val="0"/>
          <w:color w:val="000000" w:themeColor="text1"/>
          <w:sz w:val="24"/>
          <w:szCs w:val="24"/>
        </w:rPr>
        <w:t>5</w:t>
      </w:r>
      <w:r w:rsidRPr="00C9247A">
        <w:rPr>
          <w:rFonts w:ascii="Times New Roman" w:hAnsi="Times New Roman" w:cs="Times New Roman"/>
          <w:b w:val="0"/>
          <w:color w:val="000000" w:themeColor="text1"/>
          <w:sz w:val="24"/>
          <w:szCs w:val="24"/>
        </w:rPr>
        <w:t>00 for the 2010-2011 financial year) that totalled</w:t>
      </w:r>
      <w:r w:rsidR="00897F63" w:rsidRPr="00C9247A">
        <w:rPr>
          <w:rFonts w:ascii="Times New Roman" w:hAnsi="Times New Roman" w:cs="Times New Roman"/>
          <w:b w:val="0"/>
          <w:color w:val="000000" w:themeColor="text1"/>
          <w:sz w:val="24"/>
          <w:szCs w:val="24"/>
        </w:rPr>
        <w:t xml:space="preserve"> $28 758 942</w:t>
      </w:r>
      <w:r w:rsidR="00DF5E1B">
        <w:rPr>
          <w:rFonts w:ascii="Times New Roman" w:hAnsi="Times New Roman" w:cs="Times New Roman"/>
          <w:b w:val="0"/>
          <w:color w:val="000000" w:themeColor="text1"/>
          <w:sz w:val="24"/>
          <w:szCs w:val="24"/>
        </w:rPr>
        <w:t>.</w:t>
      </w:r>
      <w:r w:rsidR="00897F63" w:rsidRPr="00C9247A">
        <w:rPr>
          <w:rStyle w:val="FootnoteReference"/>
          <w:rFonts w:ascii="Times New Roman" w:hAnsi="Times New Roman" w:cs="Times New Roman"/>
          <w:b w:val="0"/>
          <w:color w:val="000000" w:themeColor="text1"/>
          <w:sz w:val="24"/>
          <w:szCs w:val="24"/>
        </w:rPr>
        <w:footnoteReference w:id="15"/>
      </w:r>
      <w:bookmarkEnd w:id="21"/>
      <w:r w:rsidR="00897F63" w:rsidRPr="00C9247A">
        <w:rPr>
          <w:rFonts w:ascii="Times New Roman" w:hAnsi="Times New Roman" w:cs="Times New Roman"/>
          <w:b w:val="0"/>
          <w:color w:val="000000" w:themeColor="text1"/>
          <w:sz w:val="24"/>
          <w:szCs w:val="24"/>
        </w:rPr>
        <w:t xml:space="preserve">  </w:t>
      </w:r>
    </w:p>
    <w:p w:rsidR="007220B5" w:rsidRPr="00767135" w:rsidRDefault="0089204D"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22" w:name="_Toc339540843"/>
      <w:r w:rsidRPr="00C9247A">
        <w:rPr>
          <w:rFonts w:ascii="Times New Roman" w:hAnsi="Times New Roman" w:cs="Times New Roman"/>
          <w:b w:val="0"/>
          <w:color w:val="000000" w:themeColor="text1"/>
          <w:sz w:val="24"/>
          <w:szCs w:val="24"/>
        </w:rPr>
        <w:t xml:space="preserve">With </w:t>
      </w:r>
      <w:r w:rsidR="00997964" w:rsidRPr="00C9247A">
        <w:rPr>
          <w:rFonts w:ascii="Times New Roman" w:hAnsi="Times New Roman" w:cs="Times New Roman"/>
          <w:b w:val="0"/>
          <w:color w:val="000000" w:themeColor="text1"/>
          <w:sz w:val="24"/>
          <w:szCs w:val="24"/>
        </w:rPr>
        <w:t xml:space="preserve">considerable </w:t>
      </w:r>
      <w:r w:rsidRPr="00C9247A">
        <w:rPr>
          <w:rFonts w:ascii="Times New Roman" w:hAnsi="Times New Roman" w:cs="Times New Roman"/>
          <w:b w:val="0"/>
          <w:color w:val="000000" w:themeColor="text1"/>
          <w:sz w:val="24"/>
          <w:szCs w:val="24"/>
        </w:rPr>
        <w:t xml:space="preserve">sums </w:t>
      </w:r>
      <w:r w:rsidR="00C079F0" w:rsidRPr="00C9247A">
        <w:rPr>
          <w:rFonts w:ascii="Times New Roman" w:hAnsi="Times New Roman" w:cs="Times New Roman"/>
          <w:b w:val="0"/>
          <w:color w:val="000000" w:themeColor="text1"/>
          <w:sz w:val="24"/>
          <w:szCs w:val="24"/>
        </w:rPr>
        <w:t xml:space="preserve">of </w:t>
      </w:r>
      <w:r w:rsidR="00997964" w:rsidRPr="00C9247A">
        <w:rPr>
          <w:rFonts w:ascii="Times New Roman" w:hAnsi="Times New Roman" w:cs="Times New Roman"/>
          <w:b w:val="0"/>
          <w:color w:val="000000" w:themeColor="text1"/>
          <w:sz w:val="24"/>
          <w:szCs w:val="24"/>
        </w:rPr>
        <w:t>the</w:t>
      </w:r>
      <w:r w:rsidRPr="00C9247A">
        <w:rPr>
          <w:rFonts w:ascii="Times New Roman" w:hAnsi="Times New Roman" w:cs="Times New Roman"/>
          <w:b w:val="0"/>
          <w:color w:val="000000" w:themeColor="text1"/>
          <w:sz w:val="24"/>
          <w:szCs w:val="24"/>
        </w:rPr>
        <w:t xml:space="preserve"> magnitude </w:t>
      </w:r>
      <w:r w:rsidR="00997964" w:rsidRPr="00C9247A">
        <w:rPr>
          <w:rFonts w:ascii="Times New Roman" w:hAnsi="Times New Roman" w:cs="Times New Roman"/>
          <w:b w:val="0"/>
          <w:color w:val="000000" w:themeColor="text1"/>
          <w:sz w:val="24"/>
          <w:szCs w:val="24"/>
        </w:rPr>
        <w:t xml:space="preserve">illustrated </w:t>
      </w:r>
      <w:r w:rsidR="00D63BF9">
        <w:rPr>
          <w:rFonts w:ascii="Times New Roman" w:hAnsi="Times New Roman" w:cs="Times New Roman"/>
          <w:b w:val="0"/>
          <w:color w:val="000000" w:themeColor="text1"/>
          <w:sz w:val="24"/>
          <w:szCs w:val="24"/>
        </w:rPr>
        <w:t>above</w:t>
      </w:r>
      <w:r w:rsidR="00997964" w:rsidRPr="00C9247A">
        <w:rPr>
          <w:rFonts w:ascii="Times New Roman" w:hAnsi="Times New Roman" w:cs="Times New Roman"/>
          <w:b w:val="0"/>
          <w:color w:val="000000" w:themeColor="text1"/>
          <w:sz w:val="24"/>
          <w:szCs w:val="24"/>
        </w:rPr>
        <w:t xml:space="preserve"> </w:t>
      </w:r>
      <w:r w:rsidRPr="00C9247A">
        <w:rPr>
          <w:rFonts w:ascii="Times New Roman" w:hAnsi="Times New Roman" w:cs="Times New Roman"/>
          <w:b w:val="0"/>
          <w:color w:val="000000" w:themeColor="text1"/>
          <w:sz w:val="24"/>
          <w:szCs w:val="24"/>
        </w:rPr>
        <w:t xml:space="preserve">being involved, it is reasonable to believe that compliance is not complete, particularly when the punitive value of the penalties is so low.  </w:t>
      </w:r>
      <w:r w:rsidR="00997964" w:rsidRPr="00C9247A">
        <w:rPr>
          <w:rFonts w:ascii="Times New Roman" w:hAnsi="Times New Roman" w:cs="Times New Roman"/>
          <w:b w:val="0"/>
          <w:color w:val="000000" w:themeColor="text1"/>
          <w:sz w:val="24"/>
          <w:szCs w:val="24"/>
        </w:rPr>
        <w:t xml:space="preserve">This situation adds weight to the need for the </w:t>
      </w:r>
      <w:r w:rsidR="00DE4D2A" w:rsidRPr="00C9247A">
        <w:rPr>
          <w:rFonts w:ascii="Times New Roman" w:hAnsi="Times New Roman" w:cs="Times New Roman"/>
          <w:b w:val="0"/>
          <w:color w:val="000000" w:themeColor="text1"/>
          <w:sz w:val="24"/>
          <w:szCs w:val="24"/>
        </w:rPr>
        <w:t>Commission</w:t>
      </w:r>
      <w:r w:rsidR="00997964" w:rsidRPr="00C9247A">
        <w:rPr>
          <w:rFonts w:ascii="Times New Roman" w:hAnsi="Times New Roman" w:cs="Times New Roman"/>
          <w:b w:val="0"/>
          <w:color w:val="000000" w:themeColor="text1"/>
          <w:sz w:val="24"/>
          <w:szCs w:val="24"/>
        </w:rPr>
        <w:t xml:space="preserve"> to increase the reliance it places on its compliance program by taking steps to make it more effective in the interests of encouraging full disclosure.</w:t>
      </w:r>
      <w:bookmarkEnd w:id="22"/>
      <w:r w:rsidR="00997964" w:rsidRPr="00C9247A">
        <w:rPr>
          <w:rFonts w:ascii="Times New Roman" w:hAnsi="Times New Roman" w:cs="Times New Roman"/>
          <w:b w:val="0"/>
          <w:color w:val="000000" w:themeColor="text1"/>
          <w:sz w:val="24"/>
          <w:szCs w:val="24"/>
        </w:rPr>
        <w:t xml:space="preserve"> </w:t>
      </w:r>
    </w:p>
    <w:p w:rsidR="00B90359" w:rsidRPr="00B90359" w:rsidRDefault="0089204D" w:rsidP="00B90359">
      <w:pPr>
        <w:pStyle w:val="Heading2"/>
        <w:numPr>
          <w:ilvl w:val="1"/>
          <w:numId w:val="21"/>
        </w:numPr>
        <w:ind w:left="567" w:hanging="567"/>
        <w:rPr>
          <w:rFonts w:ascii="Times New Roman" w:hAnsi="Times New Roman" w:cs="Times New Roman"/>
          <w:b w:val="0"/>
          <w:color w:val="000000" w:themeColor="text1"/>
          <w:sz w:val="24"/>
          <w:szCs w:val="24"/>
        </w:rPr>
      </w:pPr>
      <w:bookmarkStart w:id="23" w:name="_Toc339540844"/>
      <w:r w:rsidRPr="00C9247A">
        <w:rPr>
          <w:rFonts w:ascii="Times New Roman" w:hAnsi="Times New Roman" w:cs="Times New Roman"/>
          <w:b w:val="0"/>
          <w:color w:val="000000" w:themeColor="text1"/>
          <w:sz w:val="24"/>
          <w:szCs w:val="24"/>
        </w:rPr>
        <w:t xml:space="preserve">Despite the knowledge that political campaigning is expensive and increasingly so and the </w:t>
      </w:r>
      <w:r w:rsidR="00997964" w:rsidRPr="00C9247A">
        <w:rPr>
          <w:rFonts w:ascii="Times New Roman" w:hAnsi="Times New Roman" w:cs="Times New Roman"/>
          <w:b w:val="0"/>
          <w:color w:val="000000" w:themeColor="text1"/>
          <w:sz w:val="24"/>
          <w:szCs w:val="24"/>
        </w:rPr>
        <w:t>importance</w:t>
      </w:r>
      <w:r w:rsidRPr="00C9247A">
        <w:rPr>
          <w:rFonts w:ascii="Times New Roman" w:hAnsi="Times New Roman" w:cs="Times New Roman"/>
          <w:b w:val="0"/>
          <w:color w:val="000000" w:themeColor="text1"/>
          <w:sz w:val="24"/>
          <w:szCs w:val="24"/>
        </w:rPr>
        <w:t xml:space="preserve"> that this factor has had in shaping the content and form of important parts of the Electoral Act, the availability of reliable statistics appears to be declining.</w:t>
      </w:r>
      <w:r w:rsidR="00DB2E0C" w:rsidRPr="00DB2E0C">
        <w:rPr>
          <w:rStyle w:val="FootnoteReference"/>
          <w:rFonts w:ascii="Times New Roman" w:hAnsi="Times New Roman" w:cs="Times New Roman"/>
          <w:b w:val="0"/>
          <w:color w:val="000000" w:themeColor="text1"/>
          <w:sz w:val="24"/>
          <w:szCs w:val="24"/>
        </w:rPr>
        <w:t xml:space="preserve"> </w:t>
      </w:r>
      <w:r w:rsidR="00DB2E0C" w:rsidRPr="00DB2E0C">
        <w:rPr>
          <w:rStyle w:val="FootnoteReference"/>
          <w:rFonts w:ascii="Times New Roman" w:hAnsi="Times New Roman" w:cs="Times New Roman"/>
          <w:b w:val="0"/>
          <w:color w:val="000000" w:themeColor="text1"/>
          <w:sz w:val="24"/>
          <w:szCs w:val="24"/>
        </w:rPr>
        <w:footnoteReference w:id="16"/>
      </w:r>
      <w:bookmarkEnd w:id="23"/>
    </w:p>
    <w:p w:rsidR="00A376D9" w:rsidRDefault="0089204D" w:rsidP="00A376D9">
      <w:pPr>
        <w:pStyle w:val="Heading2"/>
        <w:numPr>
          <w:ilvl w:val="1"/>
          <w:numId w:val="21"/>
        </w:numPr>
        <w:ind w:left="567" w:hanging="567"/>
        <w:rPr>
          <w:rFonts w:ascii="Times New Roman" w:hAnsi="Times New Roman" w:cs="Times New Roman"/>
          <w:b w:val="0"/>
          <w:color w:val="000000" w:themeColor="text1"/>
          <w:sz w:val="24"/>
          <w:szCs w:val="24"/>
        </w:rPr>
      </w:pPr>
      <w:bookmarkStart w:id="24" w:name="_Toc339540845"/>
      <w:r w:rsidRPr="00C9247A">
        <w:rPr>
          <w:rFonts w:ascii="Times New Roman" w:hAnsi="Times New Roman" w:cs="Times New Roman"/>
          <w:b w:val="0"/>
          <w:color w:val="000000" w:themeColor="text1"/>
          <w:sz w:val="24"/>
          <w:szCs w:val="24"/>
        </w:rPr>
        <w:t xml:space="preserve">Electoral expenditure of the ALP and the Liberal party was able to be compiled by the </w:t>
      </w:r>
      <w:r w:rsidR="00DE4D2A" w:rsidRPr="00C9247A">
        <w:rPr>
          <w:rFonts w:ascii="Times New Roman" w:hAnsi="Times New Roman" w:cs="Times New Roman"/>
          <w:b w:val="0"/>
          <w:color w:val="000000" w:themeColor="text1"/>
          <w:sz w:val="24"/>
          <w:szCs w:val="24"/>
        </w:rPr>
        <w:t>Commission</w:t>
      </w:r>
      <w:r w:rsidRPr="00C9247A">
        <w:rPr>
          <w:rFonts w:ascii="Times New Roman" w:hAnsi="Times New Roman" w:cs="Times New Roman"/>
          <w:b w:val="0"/>
          <w:color w:val="000000" w:themeColor="text1"/>
          <w:sz w:val="24"/>
          <w:szCs w:val="24"/>
        </w:rPr>
        <w:t xml:space="preserve"> for federal elections between 1984 and 1996 (except for 1993) from electoral expenditure returns.  </w:t>
      </w:r>
      <w:r w:rsidRPr="00DB2E0C">
        <w:rPr>
          <w:rFonts w:ascii="Times New Roman" w:hAnsi="Times New Roman" w:cs="Times New Roman"/>
          <w:b w:val="0"/>
          <w:color w:val="000000" w:themeColor="text1"/>
          <w:sz w:val="24"/>
          <w:szCs w:val="24"/>
        </w:rPr>
        <w:t xml:space="preserve">However, in 1993 and </w:t>
      </w:r>
      <w:r w:rsidR="00DB2E0C" w:rsidRPr="00DB2E0C">
        <w:rPr>
          <w:rFonts w:ascii="Times New Roman" w:hAnsi="Times New Roman" w:cs="Times New Roman"/>
          <w:b w:val="0"/>
          <w:color w:val="000000" w:themeColor="text1"/>
          <w:sz w:val="24"/>
          <w:szCs w:val="24"/>
        </w:rPr>
        <w:t>for elections since</w:t>
      </w:r>
      <w:r w:rsidRPr="00DB2E0C">
        <w:rPr>
          <w:rFonts w:ascii="Times New Roman" w:hAnsi="Times New Roman" w:cs="Times New Roman"/>
          <w:b w:val="0"/>
          <w:color w:val="000000" w:themeColor="text1"/>
          <w:sz w:val="24"/>
          <w:szCs w:val="24"/>
        </w:rPr>
        <w:t xml:space="preserve"> the</w:t>
      </w:r>
      <w:r w:rsidR="00DB2E0C" w:rsidRPr="00DB2E0C">
        <w:rPr>
          <w:rFonts w:ascii="Times New Roman" w:hAnsi="Times New Roman" w:cs="Times New Roman"/>
          <w:b w:val="0"/>
          <w:color w:val="000000" w:themeColor="text1"/>
          <w:sz w:val="24"/>
          <w:szCs w:val="24"/>
        </w:rPr>
        <w:t xml:space="preserve"> one held in</w:t>
      </w:r>
      <w:r w:rsidRPr="00DB2E0C">
        <w:rPr>
          <w:rFonts w:ascii="Times New Roman" w:hAnsi="Times New Roman" w:cs="Times New Roman"/>
          <w:b w:val="0"/>
          <w:color w:val="000000" w:themeColor="text1"/>
          <w:sz w:val="24"/>
          <w:szCs w:val="24"/>
        </w:rPr>
        <w:t xml:space="preserve"> 1996, due to changes in the Electoral Act relating to the nature of the </w:t>
      </w:r>
      <w:r w:rsidR="006C2056" w:rsidRPr="00DB2E0C">
        <w:rPr>
          <w:rFonts w:ascii="Times New Roman" w:hAnsi="Times New Roman" w:cs="Times New Roman"/>
          <w:b w:val="0"/>
          <w:color w:val="000000" w:themeColor="text1"/>
          <w:sz w:val="24"/>
          <w:szCs w:val="24"/>
        </w:rPr>
        <w:t xml:space="preserve">financial expenditure </w:t>
      </w:r>
      <w:r w:rsidRPr="00DB2E0C">
        <w:rPr>
          <w:rFonts w:ascii="Times New Roman" w:hAnsi="Times New Roman" w:cs="Times New Roman"/>
          <w:b w:val="0"/>
          <w:color w:val="000000" w:themeColor="text1"/>
          <w:sz w:val="24"/>
          <w:szCs w:val="24"/>
        </w:rPr>
        <w:t>required to be disclosed, the Commission has been unable to continue the series</w:t>
      </w:r>
      <w:r w:rsidR="00DF5E1B" w:rsidRPr="00DB2E0C">
        <w:rPr>
          <w:rFonts w:ascii="Times New Roman" w:hAnsi="Times New Roman" w:cs="Times New Roman"/>
          <w:b w:val="0"/>
          <w:color w:val="000000" w:themeColor="text1"/>
          <w:sz w:val="24"/>
          <w:szCs w:val="24"/>
        </w:rPr>
        <w:t>.</w:t>
      </w:r>
      <w:r w:rsidR="00DB2E0C">
        <w:rPr>
          <w:rStyle w:val="FootnoteReference"/>
          <w:rFonts w:ascii="Times New Roman" w:hAnsi="Times New Roman" w:cs="Times New Roman"/>
          <w:b w:val="0"/>
          <w:color w:val="000000" w:themeColor="text1"/>
          <w:sz w:val="24"/>
          <w:szCs w:val="24"/>
        </w:rPr>
        <w:footnoteReference w:id="17"/>
      </w:r>
      <w:bookmarkEnd w:id="24"/>
      <w:r w:rsidRPr="00C9247A">
        <w:rPr>
          <w:rFonts w:ascii="Times New Roman" w:hAnsi="Times New Roman" w:cs="Times New Roman"/>
          <w:b w:val="0"/>
          <w:color w:val="000000" w:themeColor="text1"/>
          <w:sz w:val="24"/>
          <w:szCs w:val="24"/>
        </w:rPr>
        <w:t xml:space="preserve"> </w:t>
      </w:r>
    </w:p>
    <w:p w:rsidR="00B90359" w:rsidRPr="00B90359" w:rsidRDefault="00B90359" w:rsidP="00B90359"/>
    <w:p w:rsidR="0089204D" w:rsidRDefault="00B90359" w:rsidP="00C9247A">
      <w:pPr>
        <w:pStyle w:val="Heading2"/>
        <w:numPr>
          <w:ilvl w:val="1"/>
          <w:numId w:val="21"/>
        </w:numPr>
        <w:ind w:left="567" w:hanging="567"/>
        <w:rPr>
          <w:rFonts w:ascii="Times New Roman" w:hAnsi="Times New Roman" w:cs="Times New Roman"/>
          <w:b w:val="0"/>
          <w:color w:val="000000" w:themeColor="text1"/>
          <w:sz w:val="24"/>
          <w:szCs w:val="24"/>
        </w:rPr>
      </w:pPr>
      <w:bookmarkStart w:id="25" w:name="_Toc339540846"/>
      <w:r>
        <w:rPr>
          <w:rFonts w:ascii="Times New Roman" w:hAnsi="Times New Roman" w:cs="Times New Roman"/>
          <w:b w:val="0"/>
          <w:color w:val="000000" w:themeColor="text1"/>
          <w:sz w:val="24"/>
          <w:szCs w:val="24"/>
        </w:rPr>
        <w:lastRenderedPageBreak/>
        <w:t>Inde</w:t>
      </w:r>
      <w:r w:rsidR="001C256E" w:rsidRPr="00C9247A">
        <w:rPr>
          <w:rFonts w:ascii="Times New Roman" w:hAnsi="Times New Roman" w:cs="Times New Roman"/>
          <w:b w:val="0"/>
          <w:color w:val="000000" w:themeColor="text1"/>
          <w:sz w:val="24"/>
          <w:szCs w:val="24"/>
        </w:rPr>
        <w:t>pendent</w:t>
      </w:r>
      <w:r w:rsidR="0089204D" w:rsidRPr="00C9247A">
        <w:rPr>
          <w:rFonts w:ascii="Times New Roman" w:hAnsi="Times New Roman" w:cs="Times New Roman"/>
          <w:b w:val="0"/>
          <w:color w:val="000000" w:themeColor="text1"/>
          <w:sz w:val="24"/>
          <w:szCs w:val="24"/>
        </w:rPr>
        <w:t xml:space="preserve"> research into the amounts of money that are in play in the political arena warrants more </w:t>
      </w:r>
      <w:r w:rsidR="001C256E" w:rsidRPr="00C9247A">
        <w:rPr>
          <w:rFonts w:ascii="Times New Roman" w:hAnsi="Times New Roman" w:cs="Times New Roman"/>
          <w:b w:val="0"/>
          <w:color w:val="000000" w:themeColor="text1"/>
          <w:sz w:val="24"/>
          <w:szCs w:val="24"/>
        </w:rPr>
        <w:t>attention</w:t>
      </w:r>
      <w:r w:rsidR="0089204D" w:rsidRPr="00C9247A">
        <w:rPr>
          <w:rFonts w:ascii="Times New Roman" w:hAnsi="Times New Roman" w:cs="Times New Roman"/>
          <w:b w:val="0"/>
          <w:color w:val="000000" w:themeColor="text1"/>
          <w:sz w:val="24"/>
          <w:szCs w:val="24"/>
        </w:rPr>
        <w:t xml:space="preserve">, perhaps through a referral to the Electoral Commissioner’s Advisory Body on Electoral Research (CABER).  The information obtained from such a project </w:t>
      </w:r>
      <w:r>
        <w:rPr>
          <w:rFonts w:ascii="Times New Roman" w:hAnsi="Times New Roman" w:cs="Times New Roman"/>
          <w:b w:val="0"/>
          <w:color w:val="000000" w:themeColor="text1"/>
          <w:sz w:val="24"/>
          <w:szCs w:val="24"/>
        </w:rPr>
        <w:t>wo</w:t>
      </w:r>
      <w:r w:rsidR="00D63BF9">
        <w:rPr>
          <w:rFonts w:ascii="Times New Roman" w:hAnsi="Times New Roman" w:cs="Times New Roman"/>
          <w:b w:val="0"/>
          <w:color w:val="000000" w:themeColor="text1"/>
          <w:sz w:val="24"/>
          <w:szCs w:val="24"/>
        </w:rPr>
        <w:t>uld be</w:t>
      </w:r>
      <w:r w:rsidR="00997964" w:rsidRPr="00C9247A">
        <w:rPr>
          <w:rFonts w:ascii="Times New Roman" w:hAnsi="Times New Roman" w:cs="Times New Roman"/>
          <w:b w:val="0"/>
          <w:color w:val="000000" w:themeColor="text1"/>
          <w:sz w:val="24"/>
          <w:szCs w:val="24"/>
        </w:rPr>
        <w:t xml:space="preserve"> of importance to</w:t>
      </w:r>
      <w:r w:rsidR="0089204D" w:rsidRPr="00C9247A">
        <w:rPr>
          <w:rFonts w:ascii="Times New Roman" w:hAnsi="Times New Roman" w:cs="Times New Roman"/>
          <w:b w:val="0"/>
          <w:color w:val="000000" w:themeColor="text1"/>
          <w:sz w:val="24"/>
          <w:szCs w:val="24"/>
        </w:rPr>
        <w:t xml:space="preserve"> the Commission</w:t>
      </w:r>
      <w:r w:rsidR="00997964" w:rsidRPr="00C9247A">
        <w:rPr>
          <w:rFonts w:ascii="Times New Roman" w:hAnsi="Times New Roman" w:cs="Times New Roman"/>
          <w:b w:val="0"/>
          <w:color w:val="000000" w:themeColor="text1"/>
          <w:sz w:val="24"/>
          <w:szCs w:val="24"/>
        </w:rPr>
        <w:t>’s ability to give informed advice to</w:t>
      </w:r>
      <w:r w:rsidR="0089204D" w:rsidRPr="00C9247A">
        <w:rPr>
          <w:rFonts w:ascii="Times New Roman" w:hAnsi="Times New Roman" w:cs="Times New Roman"/>
          <w:b w:val="0"/>
          <w:color w:val="000000" w:themeColor="text1"/>
          <w:sz w:val="24"/>
          <w:szCs w:val="24"/>
        </w:rPr>
        <w:t xml:space="preserve"> the government in relation to future proposals for legislative reform in the area.</w:t>
      </w:r>
      <w:bookmarkEnd w:id="25"/>
    </w:p>
    <w:p w:rsidR="008E7F28" w:rsidRPr="008E7F28" w:rsidRDefault="008E7F28" w:rsidP="008E7F28">
      <w:pPr>
        <w:pStyle w:val="Heading2"/>
        <w:rPr>
          <w:rFonts w:ascii="Times New Roman" w:hAnsi="Times New Roman" w:cs="Times New Roman"/>
          <w:color w:val="auto"/>
        </w:rPr>
      </w:pPr>
      <w:r w:rsidRPr="008E7F28">
        <w:rPr>
          <w:rFonts w:ascii="Times New Roman" w:hAnsi="Times New Roman" w:cs="Times New Roman"/>
          <w:color w:val="auto"/>
        </w:rPr>
        <w:t>Compliance rationale and current approach</w:t>
      </w:r>
    </w:p>
    <w:p w:rsidR="001E3E7B" w:rsidRDefault="001E3E7B" w:rsidP="008E7F28">
      <w:pPr>
        <w:pStyle w:val="Heading2"/>
        <w:numPr>
          <w:ilvl w:val="1"/>
          <w:numId w:val="21"/>
        </w:numPr>
        <w:ind w:left="567" w:hanging="567"/>
        <w:rPr>
          <w:rFonts w:ascii="Times New Roman" w:hAnsi="Times New Roman" w:cs="Times New Roman"/>
          <w:b w:val="0"/>
          <w:color w:val="auto"/>
          <w:sz w:val="24"/>
          <w:szCs w:val="24"/>
        </w:rPr>
      </w:pPr>
      <w:r w:rsidRPr="008E7F28">
        <w:rPr>
          <w:rFonts w:ascii="Times New Roman" w:hAnsi="Times New Roman" w:cs="Times New Roman"/>
          <w:b w:val="0"/>
          <w:color w:val="auto"/>
          <w:sz w:val="24"/>
          <w:szCs w:val="24"/>
        </w:rPr>
        <w:t>The Commission’s public website describes the rationale of the compliance reviews in the following terms:</w:t>
      </w:r>
    </w:p>
    <w:p w:rsidR="0006265E" w:rsidRPr="0006265E" w:rsidRDefault="0006265E" w:rsidP="0006265E">
      <w:pPr>
        <w:spacing w:after="0"/>
      </w:pPr>
    </w:p>
    <w:p w:rsidR="001E3E7B" w:rsidRDefault="001E3E7B" w:rsidP="00D61290">
      <w:pPr>
        <w:ind w:left="1287"/>
        <w:rPr>
          <w:rFonts w:ascii="Times New Roman" w:hAnsi="Times New Roman" w:cs="Times New Roman"/>
          <w:i/>
          <w:sz w:val="24"/>
          <w:szCs w:val="24"/>
        </w:rPr>
      </w:pPr>
      <w:r w:rsidRPr="006B7084">
        <w:rPr>
          <w:rFonts w:ascii="Times New Roman" w:hAnsi="Times New Roman" w:cs="Times New Roman"/>
          <w:i/>
          <w:sz w:val="24"/>
          <w:szCs w:val="24"/>
        </w:rPr>
        <w:t xml:space="preserve">The </w:t>
      </w:r>
      <w:r w:rsidR="00495542">
        <w:rPr>
          <w:rFonts w:ascii="Times New Roman" w:hAnsi="Times New Roman" w:cs="Times New Roman"/>
          <w:sz w:val="24"/>
          <w:szCs w:val="24"/>
        </w:rPr>
        <w:t xml:space="preserve">[Australian Electoral Commission] </w:t>
      </w:r>
      <w:r>
        <w:rPr>
          <w:rFonts w:ascii="Times New Roman" w:hAnsi="Times New Roman" w:cs="Times New Roman"/>
          <w:i/>
          <w:sz w:val="24"/>
          <w:szCs w:val="24"/>
        </w:rPr>
        <w:t>undertakes compliance reviews of the annual disclosure returns of federally registered political parties and their state branches and associated entities. The objective of compliance is to assess whether the return as lodged is a complete and accurate record as required by the disclosure provisions contained in Part XX of the Commonwealth Electoral Act 1918 (the Act). Compliance reviews are routine in nature, not being initiated by suggestion of any breach of disclosure obligations, and in general terms can be seen as being similar to financial audits.</w:t>
      </w:r>
    </w:p>
    <w:p w:rsidR="001E3E7B" w:rsidRDefault="001E3E7B" w:rsidP="00D31A11">
      <w:pPr>
        <w:ind w:left="1287"/>
        <w:rPr>
          <w:rFonts w:ascii="Times New Roman" w:hAnsi="Times New Roman" w:cs="Times New Roman"/>
          <w:i/>
          <w:sz w:val="24"/>
          <w:szCs w:val="24"/>
        </w:rPr>
      </w:pPr>
      <w:r>
        <w:rPr>
          <w:rFonts w:ascii="Times New Roman" w:hAnsi="Times New Roman" w:cs="Times New Roman"/>
          <w:i/>
          <w:sz w:val="24"/>
          <w:szCs w:val="24"/>
        </w:rPr>
        <w:t xml:space="preserve">Compliance reviews are undertaken over a three year cycle in the course of which every political party can expect to have at least one of its disclosure returns reviewed.  It is the </w:t>
      </w:r>
      <w:r w:rsidR="005E3CE8">
        <w:rPr>
          <w:rFonts w:ascii="Times New Roman" w:hAnsi="Times New Roman" w:cs="Times New Roman"/>
          <w:sz w:val="24"/>
          <w:szCs w:val="24"/>
        </w:rPr>
        <w:t>[Australian Electoral Commission]</w:t>
      </w:r>
      <w:r>
        <w:rPr>
          <w:rFonts w:ascii="Times New Roman" w:hAnsi="Times New Roman" w:cs="Times New Roman"/>
          <w:i/>
          <w:sz w:val="24"/>
          <w:szCs w:val="24"/>
        </w:rPr>
        <w:t>’s usual practice to also review the returns for the same year of the associated entities of a party being reviewed</w:t>
      </w:r>
      <w:r w:rsidR="00DF5E1B">
        <w:rPr>
          <w:rFonts w:ascii="Times New Roman" w:hAnsi="Times New Roman" w:cs="Times New Roman"/>
          <w:i/>
          <w:sz w:val="24"/>
          <w:szCs w:val="24"/>
        </w:rPr>
        <w:t>.</w:t>
      </w:r>
      <w:r w:rsidRPr="00CE7ED0">
        <w:rPr>
          <w:rStyle w:val="FootnoteReference"/>
          <w:rFonts w:ascii="Times New Roman" w:hAnsi="Times New Roman" w:cs="Times New Roman"/>
          <w:sz w:val="24"/>
          <w:szCs w:val="24"/>
        </w:rPr>
        <w:footnoteReference w:id="18"/>
      </w:r>
      <w:r>
        <w:rPr>
          <w:rFonts w:ascii="Times New Roman" w:hAnsi="Times New Roman" w:cs="Times New Roman"/>
          <w:i/>
          <w:sz w:val="24"/>
          <w:szCs w:val="24"/>
        </w:rPr>
        <w:t xml:space="preserve">  </w:t>
      </w:r>
    </w:p>
    <w:p w:rsidR="00B90359" w:rsidRPr="00B90359" w:rsidRDefault="004234CA" w:rsidP="00B90359">
      <w:pPr>
        <w:pStyle w:val="Heading2"/>
        <w:numPr>
          <w:ilvl w:val="1"/>
          <w:numId w:val="21"/>
        </w:numPr>
        <w:ind w:left="567" w:hanging="567"/>
        <w:rPr>
          <w:rFonts w:ascii="Times New Roman" w:hAnsi="Times New Roman" w:cs="Times New Roman"/>
          <w:b w:val="0"/>
          <w:color w:val="000000" w:themeColor="text1"/>
          <w:sz w:val="24"/>
          <w:szCs w:val="24"/>
        </w:rPr>
      </w:pPr>
      <w:bookmarkStart w:id="26" w:name="_Toc339540848"/>
      <w:r w:rsidRPr="00C9247A">
        <w:rPr>
          <w:rFonts w:ascii="Times New Roman" w:hAnsi="Times New Roman" w:cs="Times New Roman"/>
          <w:b w:val="0"/>
          <w:color w:val="000000" w:themeColor="text1"/>
          <w:sz w:val="24"/>
          <w:szCs w:val="24"/>
        </w:rPr>
        <w:t>The compliance function is performed by a small group of staff that numbers seven established positions, comprising a Director at EL 2 level heading up three two person teams of an EL 1 assisted by an APS5/6.</w:t>
      </w:r>
      <w:bookmarkEnd w:id="26"/>
    </w:p>
    <w:p w:rsidR="00B90359" w:rsidRPr="00B90359" w:rsidRDefault="001E3E7B" w:rsidP="00B90359">
      <w:pPr>
        <w:pStyle w:val="Heading2"/>
        <w:numPr>
          <w:ilvl w:val="1"/>
          <w:numId w:val="21"/>
        </w:numPr>
        <w:ind w:left="567" w:hanging="567"/>
        <w:rPr>
          <w:rFonts w:ascii="Times New Roman" w:hAnsi="Times New Roman" w:cs="Times New Roman"/>
          <w:b w:val="0"/>
          <w:color w:val="000000" w:themeColor="text1"/>
          <w:sz w:val="24"/>
          <w:szCs w:val="24"/>
        </w:rPr>
      </w:pPr>
      <w:bookmarkStart w:id="27" w:name="_Toc339540849"/>
      <w:r w:rsidRPr="00C9247A">
        <w:rPr>
          <w:rFonts w:ascii="Times New Roman" w:hAnsi="Times New Roman" w:cs="Times New Roman"/>
          <w:b w:val="0"/>
          <w:color w:val="000000" w:themeColor="text1"/>
          <w:sz w:val="24"/>
          <w:szCs w:val="24"/>
        </w:rPr>
        <w:t>The available time for the individual compliance reviews is affected by a range of staff overheads, leave, training, study, general administration</w:t>
      </w:r>
      <w:r w:rsidR="00CE7ED0" w:rsidRPr="00C9247A">
        <w:rPr>
          <w:rFonts w:ascii="Times New Roman" w:hAnsi="Times New Roman" w:cs="Times New Roman"/>
          <w:b w:val="0"/>
          <w:color w:val="000000" w:themeColor="text1"/>
          <w:sz w:val="24"/>
          <w:szCs w:val="24"/>
        </w:rPr>
        <w:t xml:space="preserve"> and other matters</w:t>
      </w:r>
      <w:r w:rsidRPr="00C9247A">
        <w:rPr>
          <w:rFonts w:ascii="Times New Roman" w:hAnsi="Times New Roman" w:cs="Times New Roman"/>
          <w:b w:val="0"/>
          <w:color w:val="000000" w:themeColor="text1"/>
          <w:sz w:val="24"/>
          <w:szCs w:val="24"/>
        </w:rPr>
        <w:t>.  The available time is then allocated to the program of compliance revie</w:t>
      </w:r>
      <w:r w:rsidR="00BF3A04">
        <w:rPr>
          <w:rFonts w:ascii="Times New Roman" w:hAnsi="Times New Roman" w:cs="Times New Roman"/>
          <w:b w:val="0"/>
          <w:color w:val="000000" w:themeColor="text1"/>
          <w:sz w:val="24"/>
          <w:szCs w:val="24"/>
        </w:rPr>
        <w:t>ws based on a three year cycle.</w:t>
      </w:r>
      <w:r w:rsidRPr="00C9247A">
        <w:rPr>
          <w:rFonts w:ascii="Times New Roman" w:hAnsi="Times New Roman" w:cs="Times New Roman"/>
          <w:b w:val="0"/>
          <w:color w:val="000000" w:themeColor="text1"/>
          <w:sz w:val="24"/>
          <w:szCs w:val="24"/>
        </w:rPr>
        <w:t xml:space="preserve">  </w:t>
      </w:r>
    </w:p>
    <w:p w:rsidR="00353D69" w:rsidRDefault="001E3E7B" w:rsidP="00353D69">
      <w:pPr>
        <w:pStyle w:val="Heading2"/>
        <w:numPr>
          <w:ilvl w:val="1"/>
          <w:numId w:val="21"/>
        </w:numPr>
        <w:ind w:left="567" w:hanging="567"/>
        <w:rPr>
          <w:rFonts w:ascii="Times New Roman" w:hAnsi="Times New Roman" w:cs="Times New Roman"/>
          <w:b w:val="0"/>
          <w:color w:val="000000" w:themeColor="text1"/>
          <w:sz w:val="24"/>
          <w:szCs w:val="24"/>
        </w:rPr>
      </w:pPr>
      <w:r w:rsidRPr="00C9247A">
        <w:rPr>
          <w:rFonts w:ascii="Times New Roman" w:hAnsi="Times New Roman" w:cs="Times New Roman"/>
          <w:b w:val="0"/>
          <w:color w:val="000000" w:themeColor="text1"/>
          <w:sz w:val="24"/>
          <w:szCs w:val="24"/>
        </w:rPr>
        <w:t xml:space="preserve">Approximately 60-70 separate reviews are scheduled annually.  The time allocated for the reviews varies according to the nature of the various entities, their past history and the significance of their roles from a funding perspective.  An average time for reviews of political parties </w:t>
      </w:r>
      <w:r w:rsidR="0011735A" w:rsidRPr="00C9247A">
        <w:rPr>
          <w:rFonts w:ascii="Times New Roman" w:hAnsi="Times New Roman" w:cs="Times New Roman"/>
          <w:b w:val="0"/>
          <w:color w:val="000000" w:themeColor="text1"/>
          <w:sz w:val="24"/>
          <w:szCs w:val="24"/>
        </w:rPr>
        <w:t>i</w:t>
      </w:r>
      <w:r w:rsidR="00353D69">
        <w:rPr>
          <w:rFonts w:ascii="Times New Roman" w:hAnsi="Times New Roman" w:cs="Times New Roman"/>
          <w:b w:val="0"/>
          <w:color w:val="000000" w:themeColor="text1"/>
          <w:sz w:val="24"/>
          <w:szCs w:val="24"/>
        </w:rPr>
        <w:t>s</w:t>
      </w:r>
      <w:r w:rsidRPr="00C9247A">
        <w:rPr>
          <w:rFonts w:ascii="Times New Roman" w:hAnsi="Times New Roman" w:cs="Times New Roman"/>
          <w:b w:val="0"/>
          <w:color w:val="000000" w:themeColor="text1"/>
          <w:sz w:val="24"/>
          <w:szCs w:val="24"/>
        </w:rPr>
        <w:t xml:space="preserve"> about 120 hours though the smaller ones </w:t>
      </w:r>
      <w:r w:rsidR="0011735A" w:rsidRPr="00C9247A">
        <w:rPr>
          <w:rFonts w:ascii="Times New Roman" w:hAnsi="Times New Roman" w:cs="Times New Roman"/>
          <w:b w:val="0"/>
          <w:color w:val="000000" w:themeColor="text1"/>
          <w:sz w:val="24"/>
          <w:szCs w:val="24"/>
        </w:rPr>
        <w:t>can</w:t>
      </w:r>
      <w:r w:rsidRPr="00C9247A">
        <w:rPr>
          <w:rFonts w:ascii="Times New Roman" w:hAnsi="Times New Roman" w:cs="Times New Roman"/>
          <w:b w:val="0"/>
          <w:color w:val="000000" w:themeColor="text1"/>
          <w:sz w:val="24"/>
          <w:szCs w:val="24"/>
        </w:rPr>
        <w:t xml:space="preserve"> take less time while the larger political parties c</w:t>
      </w:r>
      <w:r w:rsidR="0011735A" w:rsidRPr="00C9247A">
        <w:rPr>
          <w:rFonts w:ascii="Times New Roman" w:hAnsi="Times New Roman" w:cs="Times New Roman"/>
          <w:b w:val="0"/>
          <w:color w:val="000000" w:themeColor="text1"/>
          <w:sz w:val="24"/>
          <w:szCs w:val="24"/>
        </w:rPr>
        <w:t>an</w:t>
      </w:r>
      <w:r w:rsidRPr="00C9247A">
        <w:rPr>
          <w:rFonts w:ascii="Times New Roman" w:hAnsi="Times New Roman" w:cs="Times New Roman"/>
          <w:b w:val="0"/>
          <w:color w:val="000000" w:themeColor="text1"/>
          <w:sz w:val="24"/>
          <w:szCs w:val="24"/>
        </w:rPr>
        <w:t xml:space="preserve"> take considerably longer.</w:t>
      </w:r>
      <w:bookmarkEnd w:id="27"/>
    </w:p>
    <w:p w:rsidR="00B90359" w:rsidRPr="00B90359" w:rsidRDefault="00B90359" w:rsidP="00B90359"/>
    <w:p w:rsidR="00353D69" w:rsidRPr="007220B5" w:rsidRDefault="00DF58B8" w:rsidP="00353D69">
      <w:pPr>
        <w:pStyle w:val="Heading2"/>
        <w:numPr>
          <w:ilvl w:val="1"/>
          <w:numId w:val="21"/>
        </w:numPr>
        <w:ind w:left="567" w:hanging="567"/>
        <w:rPr>
          <w:rFonts w:ascii="Times New Roman" w:hAnsi="Times New Roman" w:cs="Times New Roman"/>
          <w:b w:val="0"/>
          <w:color w:val="000000" w:themeColor="text1"/>
          <w:sz w:val="24"/>
          <w:szCs w:val="24"/>
        </w:rPr>
      </w:pPr>
      <w:bookmarkStart w:id="28" w:name="_Toc339540850"/>
      <w:r>
        <w:rPr>
          <w:rFonts w:ascii="Times New Roman" w:hAnsi="Times New Roman" w:cs="Times New Roman"/>
          <w:b w:val="0"/>
          <w:color w:val="000000" w:themeColor="text1"/>
          <w:sz w:val="24"/>
          <w:szCs w:val="24"/>
        </w:rPr>
        <w:lastRenderedPageBreak/>
        <w:t xml:space="preserve">Ten per cent </w:t>
      </w:r>
      <w:r w:rsidR="001E3E7B" w:rsidRPr="00C9247A">
        <w:rPr>
          <w:rFonts w:ascii="Times New Roman" w:hAnsi="Times New Roman" w:cs="Times New Roman"/>
          <w:b w:val="0"/>
          <w:color w:val="000000" w:themeColor="text1"/>
          <w:sz w:val="24"/>
          <w:szCs w:val="24"/>
        </w:rPr>
        <w:t>of available time is reserved for special investigations that have numbered six in the last three years</w:t>
      </w:r>
      <w:r w:rsidR="00986CA4" w:rsidRPr="00C9247A">
        <w:rPr>
          <w:rFonts w:ascii="Times New Roman" w:hAnsi="Times New Roman" w:cs="Times New Roman"/>
          <w:b w:val="0"/>
          <w:color w:val="000000" w:themeColor="text1"/>
          <w:sz w:val="24"/>
          <w:szCs w:val="24"/>
        </w:rPr>
        <w:t xml:space="preserve"> and where this time is unused, it is allocated back to the standard compliance program</w:t>
      </w:r>
      <w:r w:rsidR="001E3E7B" w:rsidRPr="00C9247A">
        <w:rPr>
          <w:rFonts w:ascii="Times New Roman" w:hAnsi="Times New Roman" w:cs="Times New Roman"/>
          <w:b w:val="0"/>
          <w:color w:val="000000" w:themeColor="text1"/>
          <w:sz w:val="24"/>
          <w:szCs w:val="24"/>
        </w:rPr>
        <w:t>.</w:t>
      </w:r>
      <w:bookmarkEnd w:id="28"/>
    </w:p>
    <w:p w:rsidR="002B3996" w:rsidRPr="00C9247A" w:rsidRDefault="001E3E7B" w:rsidP="00C9247A">
      <w:pPr>
        <w:pStyle w:val="Heading2"/>
        <w:numPr>
          <w:ilvl w:val="1"/>
          <w:numId w:val="21"/>
        </w:numPr>
        <w:ind w:left="567" w:hanging="567"/>
        <w:rPr>
          <w:rFonts w:ascii="Times New Roman" w:hAnsi="Times New Roman" w:cs="Times New Roman"/>
          <w:b w:val="0"/>
          <w:color w:val="000000" w:themeColor="text1"/>
          <w:sz w:val="24"/>
          <w:szCs w:val="24"/>
        </w:rPr>
      </w:pPr>
      <w:bookmarkStart w:id="29" w:name="_Toc339540851"/>
      <w:r w:rsidRPr="00C9247A">
        <w:rPr>
          <w:rFonts w:ascii="Times New Roman" w:hAnsi="Times New Roman" w:cs="Times New Roman"/>
          <w:b w:val="0"/>
          <w:color w:val="000000" w:themeColor="text1"/>
          <w:sz w:val="24"/>
          <w:szCs w:val="24"/>
        </w:rPr>
        <w:t>Compliance reviews are described as routine in nature and</w:t>
      </w:r>
      <w:r w:rsidR="00BF3A04">
        <w:rPr>
          <w:rFonts w:ascii="Times New Roman" w:hAnsi="Times New Roman" w:cs="Times New Roman"/>
          <w:b w:val="0"/>
          <w:color w:val="000000" w:themeColor="text1"/>
          <w:sz w:val="24"/>
          <w:szCs w:val="24"/>
        </w:rPr>
        <w:t xml:space="preserve"> more benign in character than ‘investigations’</w:t>
      </w:r>
      <w:r w:rsidRPr="00C9247A">
        <w:rPr>
          <w:rFonts w:ascii="Times New Roman" w:hAnsi="Times New Roman" w:cs="Times New Roman"/>
          <w:b w:val="0"/>
          <w:color w:val="000000" w:themeColor="text1"/>
          <w:sz w:val="24"/>
          <w:szCs w:val="24"/>
        </w:rPr>
        <w:t xml:space="preserve">. </w:t>
      </w:r>
      <w:r w:rsidR="002B3996" w:rsidRPr="00C9247A">
        <w:rPr>
          <w:rFonts w:ascii="Times New Roman" w:hAnsi="Times New Roman" w:cs="Times New Roman"/>
          <w:b w:val="0"/>
          <w:color w:val="000000" w:themeColor="text1"/>
          <w:sz w:val="24"/>
          <w:szCs w:val="24"/>
        </w:rPr>
        <w:t>Generally, each political party is sought to be reviewed once during an electoral cycle</w:t>
      </w:r>
      <w:r w:rsidR="00BF3A04">
        <w:rPr>
          <w:rFonts w:ascii="Times New Roman" w:hAnsi="Times New Roman" w:cs="Times New Roman"/>
          <w:b w:val="0"/>
          <w:color w:val="000000" w:themeColor="text1"/>
          <w:sz w:val="24"/>
          <w:szCs w:val="24"/>
        </w:rPr>
        <w:t xml:space="preserve"> and when a party is reviewed, its associated entities are also included in the review</w:t>
      </w:r>
      <w:r w:rsidR="002B3996" w:rsidRPr="00C9247A">
        <w:rPr>
          <w:rFonts w:ascii="Times New Roman" w:hAnsi="Times New Roman" w:cs="Times New Roman"/>
          <w:b w:val="0"/>
          <w:color w:val="000000" w:themeColor="text1"/>
          <w:sz w:val="24"/>
          <w:szCs w:val="24"/>
        </w:rPr>
        <w:t xml:space="preserve">.  </w:t>
      </w:r>
      <w:r w:rsidR="00CE7ED0" w:rsidRPr="00C9247A">
        <w:rPr>
          <w:rFonts w:ascii="Times New Roman" w:hAnsi="Times New Roman" w:cs="Times New Roman"/>
          <w:b w:val="0"/>
          <w:color w:val="000000" w:themeColor="text1"/>
          <w:sz w:val="24"/>
          <w:szCs w:val="24"/>
        </w:rPr>
        <w:t>The reviews</w:t>
      </w:r>
      <w:r w:rsidRPr="00C9247A">
        <w:rPr>
          <w:rFonts w:ascii="Times New Roman" w:hAnsi="Times New Roman" w:cs="Times New Roman"/>
          <w:b w:val="0"/>
          <w:color w:val="000000" w:themeColor="text1"/>
          <w:sz w:val="24"/>
          <w:szCs w:val="24"/>
        </w:rPr>
        <w:t xml:space="preserve"> essentially involve </w:t>
      </w:r>
      <w:r w:rsidR="00BF3A04">
        <w:rPr>
          <w:rFonts w:ascii="Times New Roman" w:hAnsi="Times New Roman" w:cs="Times New Roman"/>
          <w:b w:val="0"/>
          <w:color w:val="000000" w:themeColor="text1"/>
          <w:sz w:val="24"/>
          <w:szCs w:val="24"/>
        </w:rPr>
        <w:t>using</w:t>
      </w:r>
      <w:r w:rsidRPr="00C9247A">
        <w:rPr>
          <w:rFonts w:ascii="Times New Roman" w:hAnsi="Times New Roman" w:cs="Times New Roman"/>
          <w:b w:val="0"/>
          <w:color w:val="000000" w:themeColor="text1"/>
          <w:sz w:val="24"/>
          <w:szCs w:val="24"/>
        </w:rPr>
        <w:t xml:space="preserve"> party and associated entity financial records (such as the general ledger, bank statements and financial statements) </w:t>
      </w:r>
      <w:r w:rsidR="00BF3A04">
        <w:rPr>
          <w:rFonts w:ascii="Times New Roman" w:hAnsi="Times New Roman" w:cs="Times New Roman"/>
          <w:b w:val="0"/>
          <w:color w:val="000000" w:themeColor="text1"/>
          <w:sz w:val="24"/>
          <w:szCs w:val="24"/>
        </w:rPr>
        <w:t>to construct a disclosure return that includes all the correct information.  R</w:t>
      </w:r>
      <w:r w:rsidRPr="00C9247A">
        <w:rPr>
          <w:rFonts w:ascii="Times New Roman" w:hAnsi="Times New Roman" w:cs="Times New Roman"/>
          <w:b w:val="0"/>
          <w:color w:val="000000" w:themeColor="text1"/>
          <w:sz w:val="24"/>
          <w:szCs w:val="24"/>
        </w:rPr>
        <w:t>eturns submitted by</w:t>
      </w:r>
      <w:r w:rsidR="00BF3A04">
        <w:rPr>
          <w:rFonts w:ascii="Times New Roman" w:hAnsi="Times New Roman" w:cs="Times New Roman"/>
          <w:b w:val="0"/>
          <w:color w:val="000000" w:themeColor="text1"/>
          <w:sz w:val="24"/>
          <w:szCs w:val="24"/>
        </w:rPr>
        <w:t xml:space="preserve"> donors to political parties are also </w:t>
      </w:r>
      <w:r w:rsidR="006706A9">
        <w:rPr>
          <w:rFonts w:ascii="Times New Roman" w:hAnsi="Times New Roman" w:cs="Times New Roman"/>
          <w:b w:val="0"/>
          <w:color w:val="000000" w:themeColor="text1"/>
          <w:sz w:val="24"/>
          <w:szCs w:val="24"/>
        </w:rPr>
        <w:t>examined</w:t>
      </w:r>
      <w:r w:rsidR="00BF3A04">
        <w:rPr>
          <w:rFonts w:ascii="Times New Roman" w:hAnsi="Times New Roman" w:cs="Times New Roman"/>
          <w:b w:val="0"/>
          <w:color w:val="000000" w:themeColor="text1"/>
          <w:sz w:val="24"/>
          <w:szCs w:val="24"/>
        </w:rPr>
        <w:t xml:space="preserve"> for comparative purposes</w:t>
      </w:r>
      <w:r w:rsidR="006706A9">
        <w:rPr>
          <w:rFonts w:ascii="Times New Roman" w:hAnsi="Times New Roman" w:cs="Times New Roman"/>
          <w:b w:val="0"/>
          <w:color w:val="000000" w:themeColor="text1"/>
          <w:sz w:val="24"/>
          <w:szCs w:val="24"/>
        </w:rPr>
        <w:t>.  In addition, t</w:t>
      </w:r>
      <w:r w:rsidRPr="00C9247A">
        <w:rPr>
          <w:rFonts w:ascii="Times New Roman" w:hAnsi="Times New Roman" w:cs="Times New Roman"/>
          <w:b w:val="0"/>
          <w:color w:val="000000" w:themeColor="text1"/>
          <w:sz w:val="24"/>
          <w:szCs w:val="24"/>
        </w:rPr>
        <w:t xml:space="preserve">he major political parties provide to the Commission some other in-confidence financial information </w:t>
      </w:r>
      <w:r w:rsidR="00BF3A04" w:rsidRPr="00C9247A">
        <w:rPr>
          <w:rFonts w:ascii="Times New Roman" w:hAnsi="Times New Roman" w:cs="Times New Roman"/>
          <w:b w:val="0"/>
          <w:color w:val="000000" w:themeColor="text1"/>
          <w:sz w:val="24"/>
          <w:szCs w:val="24"/>
        </w:rPr>
        <w:t xml:space="preserve">in response to the issuing of a section 316(2A) notice, </w:t>
      </w:r>
      <w:r w:rsidR="00BF3A04">
        <w:rPr>
          <w:rFonts w:ascii="Times New Roman" w:hAnsi="Times New Roman" w:cs="Times New Roman"/>
          <w:b w:val="0"/>
          <w:color w:val="000000" w:themeColor="text1"/>
          <w:sz w:val="24"/>
          <w:szCs w:val="24"/>
        </w:rPr>
        <w:t>which</w:t>
      </w:r>
      <w:r w:rsidRPr="00C9247A">
        <w:rPr>
          <w:rFonts w:ascii="Times New Roman" w:hAnsi="Times New Roman" w:cs="Times New Roman"/>
          <w:b w:val="0"/>
          <w:color w:val="000000" w:themeColor="text1"/>
          <w:sz w:val="24"/>
          <w:szCs w:val="24"/>
        </w:rPr>
        <w:t xml:space="preserve"> is </w:t>
      </w:r>
      <w:r w:rsidR="00BF3A04">
        <w:rPr>
          <w:rFonts w:ascii="Times New Roman" w:hAnsi="Times New Roman" w:cs="Times New Roman"/>
          <w:b w:val="0"/>
          <w:color w:val="000000" w:themeColor="text1"/>
          <w:sz w:val="24"/>
          <w:szCs w:val="24"/>
        </w:rPr>
        <w:t xml:space="preserve">also </w:t>
      </w:r>
      <w:r w:rsidRPr="00C9247A">
        <w:rPr>
          <w:rFonts w:ascii="Times New Roman" w:hAnsi="Times New Roman" w:cs="Times New Roman"/>
          <w:b w:val="0"/>
          <w:color w:val="000000" w:themeColor="text1"/>
          <w:sz w:val="24"/>
          <w:szCs w:val="24"/>
        </w:rPr>
        <w:t>used to assist in the conduct of the compliance checks.</w:t>
      </w:r>
      <w:bookmarkEnd w:id="29"/>
      <w:r w:rsidR="00986CA4" w:rsidRPr="00C9247A">
        <w:rPr>
          <w:rFonts w:ascii="Times New Roman" w:hAnsi="Times New Roman" w:cs="Times New Roman"/>
          <w:b w:val="0"/>
          <w:color w:val="000000" w:themeColor="text1"/>
          <w:sz w:val="24"/>
          <w:szCs w:val="24"/>
        </w:rPr>
        <w:t xml:space="preserve"> </w:t>
      </w:r>
      <w:r w:rsidR="00382B38" w:rsidRPr="00C9247A">
        <w:rPr>
          <w:rFonts w:ascii="Times New Roman" w:hAnsi="Times New Roman" w:cs="Times New Roman"/>
          <w:b w:val="0"/>
          <w:color w:val="000000" w:themeColor="text1"/>
          <w:sz w:val="24"/>
          <w:szCs w:val="24"/>
        </w:rPr>
        <w:t xml:space="preserve"> </w:t>
      </w:r>
    </w:p>
    <w:p w:rsidR="002B3996" w:rsidRPr="00775444" w:rsidRDefault="002B3996" w:rsidP="00C9247A">
      <w:pPr>
        <w:pStyle w:val="Heading2"/>
        <w:numPr>
          <w:ilvl w:val="1"/>
          <w:numId w:val="21"/>
        </w:numPr>
        <w:ind w:left="567" w:hanging="567"/>
        <w:rPr>
          <w:rFonts w:ascii="Times New Roman" w:hAnsi="Times New Roman" w:cs="Times New Roman"/>
          <w:b w:val="0"/>
          <w:color w:val="000000" w:themeColor="text1"/>
          <w:sz w:val="24"/>
          <w:szCs w:val="24"/>
        </w:rPr>
      </w:pPr>
      <w:bookmarkStart w:id="30" w:name="_Toc339540852"/>
      <w:r w:rsidRPr="00775444">
        <w:rPr>
          <w:rFonts w:ascii="Times New Roman" w:hAnsi="Times New Roman" w:cs="Times New Roman"/>
          <w:b w:val="0"/>
          <w:color w:val="000000" w:themeColor="text1"/>
          <w:sz w:val="24"/>
          <w:szCs w:val="24"/>
        </w:rPr>
        <w:t xml:space="preserve">Compliance reviews rarely lead to prosecutions.  </w:t>
      </w:r>
      <w:r w:rsidR="00C079F0" w:rsidRPr="00775444">
        <w:rPr>
          <w:rFonts w:ascii="Times New Roman" w:hAnsi="Times New Roman" w:cs="Times New Roman"/>
          <w:b w:val="0"/>
          <w:color w:val="000000" w:themeColor="text1"/>
          <w:sz w:val="24"/>
          <w:szCs w:val="24"/>
        </w:rPr>
        <w:t xml:space="preserve">The AEC has had difficulty in convincing the Director of Public Prosecutions that cases </w:t>
      </w:r>
      <w:r w:rsidR="00D63BF9">
        <w:rPr>
          <w:rFonts w:ascii="Times New Roman" w:hAnsi="Times New Roman" w:cs="Times New Roman"/>
          <w:b w:val="0"/>
          <w:color w:val="000000" w:themeColor="text1"/>
          <w:sz w:val="24"/>
          <w:szCs w:val="24"/>
        </w:rPr>
        <w:t xml:space="preserve">involving failures to meet the disclosure obligations </w:t>
      </w:r>
      <w:r w:rsidR="00C079F0" w:rsidRPr="00775444">
        <w:rPr>
          <w:rFonts w:ascii="Times New Roman" w:hAnsi="Times New Roman" w:cs="Times New Roman"/>
          <w:b w:val="0"/>
          <w:color w:val="000000" w:themeColor="text1"/>
          <w:sz w:val="24"/>
          <w:szCs w:val="24"/>
        </w:rPr>
        <w:t>should proceed to prosecution.  The</w:t>
      </w:r>
      <w:r w:rsidR="00D63BF9">
        <w:rPr>
          <w:rFonts w:ascii="Times New Roman" w:hAnsi="Times New Roman" w:cs="Times New Roman"/>
          <w:b w:val="0"/>
          <w:color w:val="000000" w:themeColor="text1"/>
          <w:sz w:val="24"/>
          <w:szCs w:val="24"/>
        </w:rPr>
        <w:t>y</w:t>
      </w:r>
      <w:r w:rsidR="00C079F0" w:rsidRPr="00775444">
        <w:rPr>
          <w:rFonts w:ascii="Times New Roman" w:hAnsi="Times New Roman" w:cs="Times New Roman"/>
          <w:b w:val="0"/>
          <w:color w:val="000000" w:themeColor="text1"/>
          <w:sz w:val="24"/>
          <w:szCs w:val="24"/>
        </w:rPr>
        <w:t xml:space="preserve"> have generally been </w:t>
      </w:r>
      <w:r w:rsidRPr="00775444">
        <w:rPr>
          <w:rFonts w:ascii="Times New Roman" w:hAnsi="Times New Roman" w:cs="Times New Roman"/>
          <w:b w:val="0"/>
          <w:color w:val="000000" w:themeColor="text1"/>
          <w:sz w:val="24"/>
          <w:szCs w:val="24"/>
        </w:rPr>
        <w:t>judged to be of insufficient significance to be pursued given the sums involved and the low level of penalty for such offences</w:t>
      </w:r>
      <w:r w:rsidR="00DF5E1B">
        <w:rPr>
          <w:rFonts w:ascii="Times New Roman" w:hAnsi="Times New Roman" w:cs="Times New Roman"/>
          <w:b w:val="0"/>
          <w:color w:val="000000" w:themeColor="text1"/>
          <w:sz w:val="24"/>
          <w:szCs w:val="24"/>
        </w:rPr>
        <w:t>.</w:t>
      </w:r>
      <w:r w:rsidR="0011735A" w:rsidRPr="00775444">
        <w:rPr>
          <w:rStyle w:val="FootnoteReference"/>
          <w:rFonts w:ascii="Times New Roman" w:hAnsi="Times New Roman" w:cs="Times New Roman"/>
          <w:b w:val="0"/>
          <w:color w:val="000000" w:themeColor="text1"/>
          <w:sz w:val="24"/>
          <w:szCs w:val="24"/>
        </w:rPr>
        <w:footnoteReference w:id="19"/>
      </w:r>
      <w:bookmarkEnd w:id="30"/>
      <w:r w:rsidRPr="00775444">
        <w:rPr>
          <w:rFonts w:ascii="Times New Roman" w:hAnsi="Times New Roman" w:cs="Times New Roman"/>
          <w:b w:val="0"/>
          <w:color w:val="000000" w:themeColor="text1"/>
          <w:sz w:val="24"/>
          <w:szCs w:val="24"/>
        </w:rPr>
        <w:t xml:space="preserve">  </w:t>
      </w:r>
    </w:p>
    <w:p w:rsidR="007220B5" w:rsidRPr="00B90359" w:rsidRDefault="002B3996"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31" w:name="_Toc339540853"/>
      <w:r w:rsidRPr="00775444">
        <w:rPr>
          <w:rFonts w:ascii="Times New Roman" w:hAnsi="Times New Roman" w:cs="Times New Roman"/>
          <w:b w:val="0"/>
          <w:color w:val="000000" w:themeColor="text1"/>
          <w:sz w:val="24"/>
          <w:szCs w:val="24"/>
        </w:rPr>
        <w:t>The review and performance audit considered</w:t>
      </w:r>
      <w:r w:rsidR="00382B38" w:rsidRPr="00775444">
        <w:rPr>
          <w:rFonts w:ascii="Times New Roman" w:hAnsi="Times New Roman" w:cs="Times New Roman"/>
          <w:b w:val="0"/>
          <w:color w:val="000000" w:themeColor="text1"/>
          <w:sz w:val="24"/>
          <w:szCs w:val="24"/>
        </w:rPr>
        <w:t xml:space="preserve"> two key areas </w:t>
      </w:r>
      <w:r w:rsidRPr="00775444">
        <w:rPr>
          <w:rFonts w:ascii="Times New Roman" w:hAnsi="Times New Roman" w:cs="Times New Roman"/>
          <w:b w:val="0"/>
          <w:color w:val="000000" w:themeColor="text1"/>
          <w:sz w:val="24"/>
          <w:szCs w:val="24"/>
        </w:rPr>
        <w:t xml:space="preserve">central to the development of </w:t>
      </w:r>
      <w:r w:rsidR="00986CA4" w:rsidRPr="00775444">
        <w:rPr>
          <w:rFonts w:ascii="Times New Roman" w:hAnsi="Times New Roman" w:cs="Times New Roman"/>
          <w:b w:val="0"/>
          <w:color w:val="000000" w:themeColor="text1"/>
          <w:sz w:val="24"/>
          <w:szCs w:val="24"/>
        </w:rPr>
        <w:t>the compliance review program: the means for choosing political parties (and their associated entities) for inclusion in the program and the nature</w:t>
      </w:r>
      <w:r w:rsidR="000A41ED" w:rsidRPr="00775444">
        <w:rPr>
          <w:rFonts w:ascii="Times New Roman" w:hAnsi="Times New Roman" w:cs="Times New Roman"/>
          <w:b w:val="0"/>
          <w:color w:val="000000" w:themeColor="text1"/>
          <w:sz w:val="24"/>
          <w:szCs w:val="24"/>
        </w:rPr>
        <w:t xml:space="preserve"> and purpose</w:t>
      </w:r>
      <w:r w:rsidR="00986CA4" w:rsidRPr="00775444">
        <w:rPr>
          <w:rFonts w:ascii="Times New Roman" w:hAnsi="Times New Roman" w:cs="Times New Roman"/>
          <w:b w:val="0"/>
          <w:color w:val="000000" w:themeColor="text1"/>
          <w:sz w:val="24"/>
          <w:szCs w:val="24"/>
        </w:rPr>
        <w:t xml:space="preserve"> of inquiry</w:t>
      </w:r>
      <w:r w:rsidRPr="00775444">
        <w:rPr>
          <w:rFonts w:ascii="Times New Roman" w:hAnsi="Times New Roman" w:cs="Times New Roman"/>
          <w:b w:val="0"/>
          <w:color w:val="000000" w:themeColor="text1"/>
          <w:sz w:val="24"/>
          <w:szCs w:val="24"/>
        </w:rPr>
        <w:t xml:space="preserve"> into financial information</w:t>
      </w:r>
      <w:r w:rsidR="00986CA4" w:rsidRPr="00775444">
        <w:rPr>
          <w:rFonts w:ascii="Times New Roman" w:hAnsi="Times New Roman" w:cs="Times New Roman"/>
          <w:b w:val="0"/>
          <w:color w:val="000000" w:themeColor="text1"/>
          <w:sz w:val="24"/>
          <w:szCs w:val="24"/>
        </w:rPr>
        <w:t xml:space="preserve"> that takes place.</w:t>
      </w:r>
      <w:bookmarkEnd w:id="31"/>
    </w:p>
    <w:p w:rsidR="008E7F28" w:rsidRPr="008E7F28" w:rsidRDefault="008E7F28" w:rsidP="008E7F28">
      <w:pPr>
        <w:spacing w:after="0"/>
      </w:pPr>
    </w:p>
    <w:p w:rsidR="008E7F28" w:rsidRPr="008E7F28" w:rsidRDefault="008E7F28" w:rsidP="008E7F28">
      <w:pPr>
        <w:rPr>
          <w:rFonts w:ascii="Times New Roman" w:hAnsi="Times New Roman" w:cs="Times New Roman"/>
          <w:b/>
          <w:i/>
        </w:rPr>
      </w:pPr>
      <w:r>
        <w:rPr>
          <w:rFonts w:ascii="Times New Roman" w:hAnsi="Times New Roman" w:cs="Times New Roman"/>
          <w:b/>
          <w:i/>
        </w:rPr>
        <w:t>Development of the standard compliance review program</w:t>
      </w:r>
    </w:p>
    <w:p w:rsidR="00B90359" w:rsidRPr="00DC3B9D" w:rsidRDefault="00986CA4" w:rsidP="00B90359">
      <w:pPr>
        <w:pStyle w:val="Heading2"/>
        <w:numPr>
          <w:ilvl w:val="1"/>
          <w:numId w:val="21"/>
        </w:numPr>
        <w:ind w:left="567" w:hanging="567"/>
        <w:rPr>
          <w:rFonts w:ascii="Times New Roman" w:hAnsi="Times New Roman" w:cs="Times New Roman"/>
          <w:b w:val="0"/>
          <w:color w:val="auto"/>
          <w:sz w:val="24"/>
          <w:szCs w:val="24"/>
        </w:rPr>
      </w:pPr>
      <w:r w:rsidRPr="008E7F28">
        <w:rPr>
          <w:rFonts w:ascii="Times New Roman" w:hAnsi="Times New Roman" w:cs="Times New Roman"/>
          <w:b w:val="0"/>
          <w:color w:val="auto"/>
          <w:sz w:val="24"/>
          <w:szCs w:val="24"/>
        </w:rPr>
        <w:t>The approach to reviewing all of the major political parties disclosure performance over a three year cycle</w:t>
      </w:r>
      <w:r w:rsidR="008E7F28">
        <w:rPr>
          <w:rFonts w:ascii="Times New Roman" w:hAnsi="Times New Roman" w:cs="Times New Roman"/>
          <w:b w:val="0"/>
          <w:color w:val="auto"/>
          <w:sz w:val="24"/>
          <w:szCs w:val="24"/>
        </w:rPr>
        <w:t xml:space="preserve"> was described as a reasonable w</w:t>
      </w:r>
      <w:r w:rsidRPr="008E7F28">
        <w:rPr>
          <w:rFonts w:ascii="Times New Roman" w:hAnsi="Times New Roman" w:cs="Times New Roman"/>
          <w:b w:val="0"/>
          <w:color w:val="auto"/>
          <w:sz w:val="24"/>
          <w:szCs w:val="24"/>
        </w:rPr>
        <w:t>ay to ensure there was an even-handedness which reinforced the Commission’s apolitical char</w:t>
      </w:r>
      <w:r w:rsidR="00E75515" w:rsidRPr="008E7F28">
        <w:rPr>
          <w:rFonts w:ascii="Times New Roman" w:hAnsi="Times New Roman" w:cs="Times New Roman"/>
          <w:b w:val="0"/>
          <w:color w:val="auto"/>
          <w:sz w:val="24"/>
          <w:szCs w:val="24"/>
        </w:rPr>
        <w:t xml:space="preserve">acter and reputation. </w:t>
      </w:r>
    </w:p>
    <w:p w:rsidR="00B90359" w:rsidRDefault="00DB4E3E" w:rsidP="00B90359">
      <w:pPr>
        <w:pStyle w:val="Heading2"/>
        <w:numPr>
          <w:ilvl w:val="1"/>
          <w:numId w:val="21"/>
        </w:numPr>
        <w:ind w:left="567" w:hanging="567"/>
        <w:rPr>
          <w:rFonts w:ascii="Times New Roman" w:hAnsi="Times New Roman" w:cs="Times New Roman"/>
          <w:b w:val="0"/>
          <w:color w:val="000000" w:themeColor="text1"/>
          <w:sz w:val="24"/>
          <w:szCs w:val="24"/>
        </w:rPr>
      </w:pPr>
      <w:bookmarkStart w:id="32" w:name="_Toc339540855"/>
      <w:r>
        <w:rPr>
          <w:rFonts w:ascii="Times New Roman" w:hAnsi="Times New Roman" w:cs="Times New Roman"/>
          <w:b w:val="0"/>
          <w:color w:val="000000" w:themeColor="text1"/>
          <w:sz w:val="24"/>
          <w:szCs w:val="24"/>
        </w:rPr>
        <w:t>Additionally, t</w:t>
      </w:r>
      <w:r w:rsidR="004234CA" w:rsidRPr="004234CA">
        <w:rPr>
          <w:rFonts w:ascii="Times New Roman" w:hAnsi="Times New Roman" w:cs="Times New Roman"/>
          <w:b w:val="0"/>
          <w:color w:val="000000" w:themeColor="text1"/>
          <w:sz w:val="24"/>
          <w:szCs w:val="24"/>
        </w:rPr>
        <w:t xml:space="preserve">he development of positive relationships with the political parties in the course of the compliance reviews was described as at least as important as the mechanics associated with checking the accuracy of the disclosure returns.  In the course of rectifying discrepancies with staff of the political parties the opportunity is taken to provide assistance and advice on how best to manage the preparation and presentation of returns. </w:t>
      </w:r>
    </w:p>
    <w:p w:rsidR="00B90359" w:rsidRPr="00B90359" w:rsidRDefault="00B90359" w:rsidP="00B90359"/>
    <w:p w:rsidR="00B90359" w:rsidRPr="00B90359" w:rsidRDefault="004234CA" w:rsidP="00B90359">
      <w:pPr>
        <w:pStyle w:val="Heading2"/>
        <w:numPr>
          <w:ilvl w:val="1"/>
          <w:numId w:val="21"/>
        </w:numPr>
        <w:ind w:left="567" w:hanging="567"/>
        <w:rPr>
          <w:rFonts w:ascii="Times New Roman" w:hAnsi="Times New Roman" w:cs="Times New Roman"/>
          <w:b w:val="0"/>
          <w:color w:val="000000" w:themeColor="text1"/>
          <w:sz w:val="24"/>
          <w:szCs w:val="24"/>
        </w:rPr>
      </w:pPr>
      <w:r w:rsidRPr="004234CA">
        <w:rPr>
          <w:rFonts w:ascii="Times New Roman" w:hAnsi="Times New Roman" w:cs="Times New Roman"/>
          <w:b w:val="0"/>
          <w:color w:val="000000" w:themeColor="text1"/>
          <w:sz w:val="24"/>
          <w:szCs w:val="24"/>
        </w:rPr>
        <w:lastRenderedPageBreak/>
        <w:t xml:space="preserve">This </w:t>
      </w:r>
      <w:r w:rsidR="006706A9">
        <w:rPr>
          <w:rFonts w:ascii="Times New Roman" w:hAnsi="Times New Roman" w:cs="Times New Roman"/>
          <w:b w:val="0"/>
          <w:color w:val="000000" w:themeColor="text1"/>
          <w:sz w:val="24"/>
          <w:szCs w:val="24"/>
        </w:rPr>
        <w:t>is</w:t>
      </w:r>
      <w:r w:rsidRPr="004234CA">
        <w:rPr>
          <w:rFonts w:ascii="Times New Roman" w:hAnsi="Times New Roman" w:cs="Times New Roman"/>
          <w:b w:val="0"/>
          <w:color w:val="000000" w:themeColor="text1"/>
          <w:sz w:val="24"/>
          <w:szCs w:val="24"/>
        </w:rPr>
        <w:t xml:space="preserve"> seen as advantageous to the Commission’s task as well as a way of breaking down any sense of distrust directed towards the Commission arising from its compliance responsibilities.</w:t>
      </w:r>
      <w:bookmarkEnd w:id="32"/>
    </w:p>
    <w:p w:rsidR="007220B5" w:rsidRPr="007220B5" w:rsidRDefault="004234CA"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33" w:name="_Toc339540857"/>
      <w:r w:rsidRPr="00775444">
        <w:rPr>
          <w:rFonts w:ascii="Times New Roman" w:hAnsi="Times New Roman" w:cs="Times New Roman"/>
          <w:b w:val="0"/>
          <w:color w:val="000000" w:themeColor="text1"/>
          <w:sz w:val="24"/>
          <w:szCs w:val="24"/>
        </w:rPr>
        <w:t>The review was advised that it has been the practice to only include in reviews of the political parties those associated entities that are ‘controlled’ or ‘operate, wholly or to a significant extent for the benefit of (the)…political parties’ due to resource constraints.</w:t>
      </w:r>
      <w:bookmarkEnd w:id="33"/>
      <w:r w:rsidR="00187163">
        <w:rPr>
          <w:rStyle w:val="FootnoteReference"/>
          <w:rFonts w:ascii="Times New Roman" w:hAnsi="Times New Roman" w:cs="Times New Roman"/>
          <w:b w:val="0"/>
          <w:color w:val="000000" w:themeColor="text1"/>
          <w:sz w:val="24"/>
          <w:szCs w:val="24"/>
        </w:rPr>
        <w:footnoteReference w:id="20"/>
      </w:r>
      <w:r w:rsidRPr="00775444">
        <w:rPr>
          <w:rFonts w:ascii="Times New Roman" w:hAnsi="Times New Roman" w:cs="Times New Roman"/>
          <w:b w:val="0"/>
          <w:color w:val="000000" w:themeColor="text1"/>
          <w:sz w:val="24"/>
          <w:szCs w:val="24"/>
        </w:rPr>
        <w:t xml:space="preserve"> </w:t>
      </w:r>
    </w:p>
    <w:p w:rsidR="007220B5" w:rsidRPr="007220B5" w:rsidRDefault="004234CA"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34" w:name="_Toc339540858"/>
      <w:r w:rsidRPr="00775444">
        <w:rPr>
          <w:rFonts w:ascii="Times New Roman" w:hAnsi="Times New Roman" w:cs="Times New Roman"/>
          <w:b w:val="0"/>
          <w:color w:val="000000" w:themeColor="text1"/>
          <w:sz w:val="24"/>
          <w:szCs w:val="24"/>
        </w:rPr>
        <w:t>Entities that provide support to the parties that do not meet this test but have links such as being financial members or having voting rights, have not been chosen for inclusion in party based reviews as the risks associated with such cases has been judged to be of a lesser order.</w:t>
      </w:r>
      <w:bookmarkEnd w:id="34"/>
      <w:r w:rsidRPr="00775444">
        <w:rPr>
          <w:rFonts w:ascii="Times New Roman" w:hAnsi="Times New Roman" w:cs="Times New Roman"/>
          <w:b w:val="0"/>
          <w:color w:val="000000" w:themeColor="text1"/>
          <w:sz w:val="24"/>
          <w:szCs w:val="24"/>
        </w:rPr>
        <w:t xml:space="preserve"> </w:t>
      </w:r>
    </w:p>
    <w:p w:rsidR="007220B5" w:rsidRPr="007220B5" w:rsidRDefault="004234CA"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35" w:name="_Toc339540859"/>
      <w:r w:rsidRPr="00775444">
        <w:rPr>
          <w:rFonts w:ascii="Times New Roman" w:hAnsi="Times New Roman" w:cs="Times New Roman"/>
          <w:b w:val="0"/>
          <w:color w:val="000000" w:themeColor="text1"/>
          <w:sz w:val="24"/>
          <w:szCs w:val="24"/>
        </w:rPr>
        <w:t>On this basis trade unions have been excluded from review as they do not meet the first test despite many being regular and substantial donors. In addition, other entities that also fail the first test but are closely linked to political parties through formal membership or the existence of voting rights are excluded for similar reasons.</w:t>
      </w:r>
      <w:bookmarkEnd w:id="35"/>
    </w:p>
    <w:p w:rsidR="007220B5" w:rsidRPr="0062394E" w:rsidRDefault="004234CA"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36" w:name="_Toc339540860"/>
      <w:r w:rsidRPr="00AB7A8D">
        <w:rPr>
          <w:rFonts w:ascii="Times New Roman" w:hAnsi="Times New Roman" w:cs="Times New Roman"/>
          <w:b w:val="0"/>
          <w:color w:val="000000" w:themeColor="text1"/>
          <w:sz w:val="24"/>
          <w:szCs w:val="24"/>
        </w:rPr>
        <w:t>Given that the main focus has been on checking the accuracy of disclosure returns received, it is difficult to understand the logic behind these choices</w:t>
      </w:r>
      <w:r w:rsidR="00150284" w:rsidRPr="00AB7A8D">
        <w:rPr>
          <w:rFonts w:ascii="Times New Roman" w:hAnsi="Times New Roman" w:cs="Times New Roman"/>
          <w:b w:val="0"/>
          <w:color w:val="000000" w:themeColor="text1"/>
          <w:sz w:val="24"/>
          <w:szCs w:val="24"/>
        </w:rPr>
        <w:t>.</w:t>
      </w:r>
      <w:r w:rsidRPr="00AB7A8D">
        <w:rPr>
          <w:rStyle w:val="FootnoteReference"/>
          <w:rFonts w:ascii="Times New Roman" w:hAnsi="Times New Roman" w:cs="Times New Roman"/>
          <w:b w:val="0"/>
          <w:color w:val="000000" w:themeColor="text1"/>
          <w:sz w:val="24"/>
          <w:szCs w:val="24"/>
        </w:rPr>
        <w:footnoteReference w:id="21"/>
      </w:r>
      <w:bookmarkEnd w:id="36"/>
    </w:p>
    <w:p w:rsidR="007220B5" w:rsidRPr="00DC3B9D" w:rsidRDefault="00AA5912" w:rsidP="007220B5">
      <w:pPr>
        <w:pStyle w:val="Heading2"/>
        <w:numPr>
          <w:ilvl w:val="1"/>
          <w:numId w:val="21"/>
        </w:numPr>
        <w:ind w:left="567" w:hanging="567"/>
        <w:rPr>
          <w:rFonts w:ascii="Times New Roman" w:hAnsi="Times New Roman" w:cs="Times New Roman"/>
          <w:b w:val="0"/>
          <w:color w:val="000000" w:themeColor="text1"/>
          <w:sz w:val="24"/>
          <w:szCs w:val="24"/>
        </w:rPr>
      </w:pPr>
      <w:bookmarkStart w:id="37" w:name="_Toc339540861"/>
      <w:r>
        <w:rPr>
          <w:rFonts w:ascii="Times New Roman" w:hAnsi="Times New Roman" w:cs="Times New Roman"/>
          <w:b w:val="0"/>
          <w:color w:val="000000" w:themeColor="text1"/>
          <w:sz w:val="24"/>
          <w:szCs w:val="24"/>
        </w:rPr>
        <w:t>The current approach has clearly been influenced by the limited focus of the annual compliance reviews’ stated primary purpose, the skill levels of the staff available to conduct them and the necessity to spread the limited resources available thinly while at the same time endeavouring to have a program that is defensible form an even-handedness viewpoint.</w:t>
      </w:r>
    </w:p>
    <w:p w:rsidR="00DC3B9D" w:rsidRPr="00DC3B9D" w:rsidRDefault="00DB4E3E" w:rsidP="00DC3B9D">
      <w:pPr>
        <w:pStyle w:val="Heading2"/>
        <w:numPr>
          <w:ilvl w:val="1"/>
          <w:numId w:val="21"/>
        </w:numPr>
        <w:ind w:left="567" w:hanging="567"/>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 precise ‘commencement date’ for the current approach to devising the compliance review program was not able to be obtained.  It appears to have ‘evolved’ over a number of years from</w:t>
      </w:r>
      <w:r w:rsidR="00654D08">
        <w:rPr>
          <w:rFonts w:ascii="Times New Roman" w:hAnsi="Times New Roman" w:cs="Times New Roman"/>
          <w:b w:val="0"/>
          <w:color w:val="000000" w:themeColor="text1"/>
          <w:sz w:val="24"/>
          <w:szCs w:val="24"/>
        </w:rPr>
        <w:t xml:space="preserve"> at least</w:t>
      </w:r>
      <w:r>
        <w:rPr>
          <w:rFonts w:ascii="Times New Roman" w:hAnsi="Times New Roman" w:cs="Times New Roman"/>
          <w:b w:val="0"/>
          <w:color w:val="000000" w:themeColor="text1"/>
          <w:sz w:val="24"/>
          <w:szCs w:val="24"/>
        </w:rPr>
        <w:t xml:space="preserve"> the 1990s.  Despite being subject to a number of audits over the past decade, </w:t>
      </w:r>
      <w:r w:rsidR="001C6584">
        <w:rPr>
          <w:rFonts w:ascii="Times New Roman" w:hAnsi="Times New Roman" w:cs="Times New Roman"/>
          <w:b w:val="0"/>
          <w:color w:val="000000" w:themeColor="text1"/>
          <w:sz w:val="24"/>
          <w:szCs w:val="24"/>
        </w:rPr>
        <w:t xml:space="preserve">including by external consultants between 2002 and 2007, </w:t>
      </w:r>
      <w:r>
        <w:rPr>
          <w:rFonts w:ascii="Times New Roman" w:hAnsi="Times New Roman" w:cs="Times New Roman"/>
          <w:b w:val="0"/>
          <w:color w:val="000000" w:themeColor="text1"/>
          <w:sz w:val="24"/>
          <w:szCs w:val="24"/>
        </w:rPr>
        <w:t>th</w:t>
      </w:r>
      <w:r w:rsidR="003635BB">
        <w:rPr>
          <w:rFonts w:ascii="Times New Roman" w:hAnsi="Times New Roman" w:cs="Times New Roman"/>
          <w:b w:val="0"/>
          <w:color w:val="000000" w:themeColor="text1"/>
          <w:sz w:val="24"/>
          <w:szCs w:val="24"/>
        </w:rPr>
        <w:t>e</w:t>
      </w:r>
      <w:r>
        <w:rPr>
          <w:rFonts w:ascii="Times New Roman" w:hAnsi="Times New Roman" w:cs="Times New Roman"/>
          <w:b w:val="0"/>
          <w:color w:val="000000" w:themeColor="text1"/>
          <w:sz w:val="24"/>
          <w:szCs w:val="24"/>
        </w:rPr>
        <w:t xml:space="preserve"> approach</w:t>
      </w:r>
      <w:r w:rsidR="00A137C8">
        <w:rPr>
          <w:rFonts w:ascii="Times New Roman" w:hAnsi="Times New Roman" w:cs="Times New Roman"/>
          <w:b w:val="0"/>
          <w:color w:val="000000" w:themeColor="text1"/>
          <w:sz w:val="24"/>
          <w:szCs w:val="24"/>
        </w:rPr>
        <w:t xml:space="preserve"> to compliance reviews</w:t>
      </w:r>
      <w:r>
        <w:rPr>
          <w:rFonts w:ascii="Times New Roman" w:hAnsi="Times New Roman" w:cs="Times New Roman"/>
          <w:b w:val="0"/>
          <w:color w:val="000000" w:themeColor="text1"/>
          <w:sz w:val="24"/>
          <w:szCs w:val="24"/>
        </w:rPr>
        <w:t xml:space="preserve"> has remained broadly constant, with only some minor adjustment</w:t>
      </w:r>
      <w:r w:rsidR="00654D08">
        <w:rPr>
          <w:rFonts w:ascii="Times New Roman" w:hAnsi="Times New Roman" w:cs="Times New Roman"/>
          <w:b w:val="0"/>
          <w:color w:val="000000" w:themeColor="text1"/>
          <w:sz w:val="24"/>
          <w:szCs w:val="24"/>
        </w:rPr>
        <w:t>s</w:t>
      </w:r>
      <w:r>
        <w:rPr>
          <w:rFonts w:ascii="Times New Roman" w:hAnsi="Times New Roman" w:cs="Times New Roman"/>
          <w:b w:val="0"/>
          <w:color w:val="000000" w:themeColor="text1"/>
          <w:sz w:val="24"/>
          <w:szCs w:val="24"/>
        </w:rPr>
        <w:t xml:space="preserve"> to practices</w:t>
      </w:r>
      <w:r w:rsidR="00654D08">
        <w:rPr>
          <w:rFonts w:ascii="Times New Roman" w:hAnsi="Times New Roman" w:cs="Times New Roman"/>
          <w:b w:val="0"/>
          <w:color w:val="000000" w:themeColor="text1"/>
          <w:sz w:val="24"/>
          <w:szCs w:val="24"/>
        </w:rPr>
        <w:t xml:space="preserve"> taking place</w:t>
      </w:r>
      <w:r w:rsidR="00A137C8">
        <w:rPr>
          <w:rFonts w:ascii="Times New Roman" w:hAnsi="Times New Roman" w:cs="Times New Roman"/>
          <w:b w:val="0"/>
          <w:color w:val="000000" w:themeColor="text1"/>
          <w:sz w:val="24"/>
          <w:szCs w:val="24"/>
        </w:rPr>
        <w:t xml:space="preserve"> in response to </w:t>
      </w:r>
      <w:r w:rsidR="001C6584">
        <w:rPr>
          <w:rFonts w:ascii="Times New Roman" w:hAnsi="Times New Roman" w:cs="Times New Roman"/>
          <w:b w:val="0"/>
          <w:color w:val="000000" w:themeColor="text1"/>
          <w:sz w:val="24"/>
          <w:szCs w:val="24"/>
        </w:rPr>
        <w:t>internal</w:t>
      </w:r>
      <w:r w:rsidR="00A137C8">
        <w:rPr>
          <w:rFonts w:ascii="Times New Roman" w:hAnsi="Times New Roman" w:cs="Times New Roman"/>
          <w:b w:val="0"/>
          <w:color w:val="000000" w:themeColor="text1"/>
          <w:sz w:val="24"/>
          <w:szCs w:val="24"/>
        </w:rPr>
        <w:t xml:space="preserve"> audit findings</w:t>
      </w:r>
      <w:r>
        <w:rPr>
          <w:rFonts w:ascii="Times New Roman" w:hAnsi="Times New Roman" w:cs="Times New Roman"/>
          <w:b w:val="0"/>
          <w:color w:val="000000" w:themeColor="text1"/>
          <w:sz w:val="24"/>
          <w:szCs w:val="24"/>
        </w:rPr>
        <w:t>.</w:t>
      </w:r>
      <w:r w:rsidR="008B6643">
        <w:rPr>
          <w:rStyle w:val="FootnoteReference"/>
          <w:rFonts w:ascii="Times New Roman" w:hAnsi="Times New Roman" w:cs="Times New Roman"/>
          <w:b w:val="0"/>
          <w:color w:val="000000" w:themeColor="text1"/>
          <w:sz w:val="24"/>
          <w:szCs w:val="24"/>
        </w:rPr>
        <w:footnoteReference w:id="22"/>
      </w:r>
      <w:r>
        <w:rPr>
          <w:rFonts w:ascii="Times New Roman" w:hAnsi="Times New Roman" w:cs="Times New Roman"/>
          <w:b w:val="0"/>
          <w:color w:val="000000" w:themeColor="text1"/>
          <w:sz w:val="24"/>
          <w:szCs w:val="24"/>
        </w:rPr>
        <w:t xml:space="preserve"> </w:t>
      </w:r>
      <w:r w:rsidR="00F63119">
        <w:rPr>
          <w:rFonts w:ascii="Times New Roman" w:hAnsi="Times New Roman" w:cs="Times New Roman"/>
          <w:b w:val="0"/>
          <w:color w:val="000000" w:themeColor="text1"/>
          <w:sz w:val="24"/>
          <w:szCs w:val="24"/>
        </w:rPr>
        <w:t xml:space="preserve"> </w:t>
      </w:r>
    </w:p>
    <w:p w:rsidR="00DB4E3E" w:rsidRDefault="003635BB" w:rsidP="00353D69">
      <w:pPr>
        <w:pStyle w:val="Heading2"/>
        <w:numPr>
          <w:ilvl w:val="1"/>
          <w:numId w:val="21"/>
        </w:numPr>
        <w:ind w:left="567" w:hanging="567"/>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The current approach</w:t>
      </w:r>
      <w:r w:rsidR="00F63119">
        <w:rPr>
          <w:rFonts w:ascii="Times New Roman" w:hAnsi="Times New Roman" w:cs="Times New Roman"/>
          <w:b w:val="0"/>
          <w:color w:val="000000" w:themeColor="text1"/>
          <w:sz w:val="24"/>
          <w:szCs w:val="24"/>
        </w:rPr>
        <w:t xml:space="preserve"> </w:t>
      </w:r>
      <w:r w:rsidR="002D28FF">
        <w:rPr>
          <w:rFonts w:ascii="Times New Roman" w:hAnsi="Times New Roman" w:cs="Times New Roman"/>
          <w:b w:val="0"/>
          <w:color w:val="000000" w:themeColor="text1"/>
          <w:sz w:val="24"/>
          <w:szCs w:val="24"/>
        </w:rPr>
        <w:t xml:space="preserve">thus </w:t>
      </w:r>
      <w:r w:rsidR="00F63119">
        <w:rPr>
          <w:rFonts w:ascii="Times New Roman" w:hAnsi="Times New Roman" w:cs="Times New Roman"/>
          <w:b w:val="0"/>
          <w:color w:val="000000" w:themeColor="text1"/>
          <w:sz w:val="24"/>
          <w:szCs w:val="24"/>
        </w:rPr>
        <w:t>appears to have been largely accepted by previous senior managers</w:t>
      </w:r>
      <w:r w:rsidR="00654D08">
        <w:rPr>
          <w:rFonts w:ascii="Times New Roman" w:hAnsi="Times New Roman" w:cs="Times New Roman"/>
          <w:b w:val="0"/>
          <w:color w:val="000000" w:themeColor="text1"/>
          <w:sz w:val="24"/>
          <w:szCs w:val="24"/>
        </w:rPr>
        <w:t xml:space="preserve"> within the Commission that have been</w:t>
      </w:r>
      <w:r w:rsidR="00F63119">
        <w:rPr>
          <w:rFonts w:ascii="Times New Roman" w:hAnsi="Times New Roman" w:cs="Times New Roman"/>
          <w:b w:val="0"/>
          <w:color w:val="000000" w:themeColor="text1"/>
          <w:sz w:val="24"/>
          <w:szCs w:val="24"/>
        </w:rPr>
        <w:t xml:space="preserve"> responsible for the area.</w:t>
      </w:r>
    </w:p>
    <w:p w:rsidR="00DC3B9D" w:rsidRPr="00DC3B9D" w:rsidRDefault="00DC3B9D" w:rsidP="00DC3B9D"/>
    <w:p w:rsidR="00353D69" w:rsidRPr="00187163" w:rsidRDefault="004234CA" w:rsidP="00353D69">
      <w:pPr>
        <w:pStyle w:val="Heading2"/>
        <w:numPr>
          <w:ilvl w:val="1"/>
          <w:numId w:val="21"/>
        </w:numPr>
        <w:ind w:left="567" w:hanging="567"/>
        <w:rPr>
          <w:rFonts w:ascii="Times New Roman" w:hAnsi="Times New Roman" w:cs="Times New Roman"/>
          <w:b w:val="0"/>
          <w:color w:val="000000" w:themeColor="text1"/>
          <w:sz w:val="24"/>
          <w:szCs w:val="24"/>
        </w:rPr>
      </w:pPr>
      <w:r w:rsidRPr="00775444">
        <w:rPr>
          <w:rFonts w:ascii="Times New Roman" w:hAnsi="Times New Roman" w:cs="Times New Roman"/>
          <w:b w:val="0"/>
          <w:color w:val="000000" w:themeColor="text1"/>
          <w:sz w:val="24"/>
          <w:szCs w:val="24"/>
        </w:rPr>
        <w:lastRenderedPageBreak/>
        <w:t>I consider that the existing means of choosing candidates for inclusion in the compliance review program with its narrowly based objectives is considered to be flawed and is in need of review.</w:t>
      </w:r>
      <w:bookmarkEnd w:id="37"/>
      <w:r w:rsidR="00353D69">
        <w:rPr>
          <w:rStyle w:val="FootnoteReference"/>
          <w:rFonts w:ascii="Times New Roman" w:hAnsi="Times New Roman" w:cs="Times New Roman"/>
          <w:b w:val="0"/>
          <w:color w:val="000000" w:themeColor="text1"/>
          <w:sz w:val="24"/>
          <w:szCs w:val="24"/>
        </w:rPr>
        <w:footnoteReference w:id="23"/>
      </w:r>
      <w:r w:rsidRPr="00775444">
        <w:rPr>
          <w:rFonts w:ascii="Times New Roman" w:hAnsi="Times New Roman" w:cs="Times New Roman"/>
          <w:b w:val="0"/>
          <w:color w:val="000000" w:themeColor="text1"/>
          <w:sz w:val="24"/>
          <w:szCs w:val="24"/>
        </w:rPr>
        <w:t xml:space="preserve"> </w:t>
      </w:r>
      <w:r w:rsidRPr="00C74ABA">
        <w:rPr>
          <w:rFonts w:ascii="Times New Roman" w:hAnsi="Times New Roman" w:cs="Times New Roman"/>
          <w:b w:val="0"/>
          <w:color w:val="000000" w:themeColor="text1"/>
          <w:sz w:val="24"/>
          <w:szCs w:val="24"/>
        </w:rPr>
        <w:t xml:space="preserve"> </w:t>
      </w:r>
    </w:p>
    <w:p w:rsidR="00353D69" w:rsidRPr="005E62F5" w:rsidRDefault="001E3E7B" w:rsidP="00353D69">
      <w:pPr>
        <w:pStyle w:val="Heading2"/>
        <w:numPr>
          <w:ilvl w:val="1"/>
          <w:numId w:val="21"/>
        </w:numPr>
        <w:ind w:left="567" w:hanging="567"/>
        <w:rPr>
          <w:rFonts w:ascii="Times New Roman" w:hAnsi="Times New Roman" w:cs="Times New Roman"/>
          <w:b w:val="0"/>
          <w:color w:val="auto"/>
          <w:sz w:val="24"/>
          <w:szCs w:val="24"/>
        </w:rPr>
      </w:pPr>
      <w:bookmarkStart w:id="38" w:name="_Toc339540862"/>
      <w:r w:rsidRPr="004E32EF">
        <w:rPr>
          <w:rFonts w:ascii="Times New Roman" w:hAnsi="Times New Roman" w:cs="Times New Roman"/>
          <w:b w:val="0"/>
          <w:color w:val="auto"/>
          <w:sz w:val="24"/>
          <w:szCs w:val="24"/>
        </w:rPr>
        <w:t>Throughout the course of the review, staff indicated that the bulk of discrepancies identified in the compliance reviews appear to be differences that have not arisen from a deliberate intent to hide transactions. They basically appear to be the result of sloppy completion of the returns, errors that have occurred in the process or reflect poor quality financial management.  In these cases the discrepancies are resolved by correction or adjustment with the Commis</w:t>
      </w:r>
      <w:r w:rsidR="0011735A" w:rsidRPr="004E32EF">
        <w:rPr>
          <w:rFonts w:ascii="Times New Roman" w:hAnsi="Times New Roman" w:cs="Times New Roman"/>
          <w:b w:val="0"/>
          <w:color w:val="auto"/>
          <w:sz w:val="24"/>
          <w:szCs w:val="24"/>
        </w:rPr>
        <w:t>sion adopting an ‘honest broker’</w:t>
      </w:r>
      <w:r w:rsidRPr="004E32EF">
        <w:rPr>
          <w:rFonts w:ascii="Times New Roman" w:hAnsi="Times New Roman" w:cs="Times New Roman"/>
          <w:b w:val="0"/>
          <w:color w:val="auto"/>
          <w:sz w:val="24"/>
          <w:szCs w:val="24"/>
        </w:rPr>
        <w:t xml:space="preserve"> role</w:t>
      </w:r>
      <w:r w:rsidR="00DF5E1B" w:rsidRPr="004E32EF">
        <w:rPr>
          <w:rFonts w:ascii="Times New Roman" w:hAnsi="Times New Roman" w:cs="Times New Roman"/>
          <w:b w:val="0"/>
          <w:color w:val="auto"/>
          <w:sz w:val="24"/>
          <w:szCs w:val="24"/>
        </w:rPr>
        <w:t>.</w:t>
      </w:r>
      <w:r w:rsidR="00C9541C" w:rsidRPr="004E32EF">
        <w:rPr>
          <w:rStyle w:val="FootnoteReference"/>
          <w:rFonts w:ascii="Times New Roman" w:hAnsi="Times New Roman" w:cs="Times New Roman"/>
          <w:b w:val="0"/>
          <w:color w:val="auto"/>
          <w:sz w:val="24"/>
          <w:szCs w:val="24"/>
        </w:rPr>
        <w:footnoteReference w:id="24"/>
      </w:r>
      <w:bookmarkEnd w:id="38"/>
      <w:r w:rsidRPr="004E32EF">
        <w:rPr>
          <w:rFonts w:ascii="Times New Roman" w:hAnsi="Times New Roman" w:cs="Times New Roman"/>
          <w:b w:val="0"/>
          <w:color w:val="auto"/>
          <w:sz w:val="24"/>
          <w:szCs w:val="24"/>
        </w:rPr>
        <w:t xml:space="preserve"> </w:t>
      </w:r>
    </w:p>
    <w:p w:rsidR="0039164C" w:rsidRPr="0039164C" w:rsidRDefault="0039164C" w:rsidP="0039164C">
      <w:pPr>
        <w:pStyle w:val="Heading2"/>
        <w:rPr>
          <w:rFonts w:ascii="Times New Roman" w:hAnsi="Times New Roman" w:cs="Times New Roman"/>
          <w:color w:val="auto"/>
        </w:rPr>
      </w:pPr>
      <w:bookmarkStart w:id="39" w:name="_Toc339540864"/>
      <w:r w:rsidRPr="0039164C">
        <w:rPr>
          <w:rFonts w:ascii="Times New Roman" w:hAnsi="Times New Roman" w:cs="Times New Roman"/>
          <w:color w:val="auto"/>
        </w:rPr>
        <w:t>The public view of compliance activities</w:t>
      </w:r>
    </w:p>
    <w:p w:rsidR="003B690A" w:rsidRPr="0039164C" w:rsidRDefault="00382B38" w:rsidP="0039164C">
      <w:pPr>
        <w:pStyle w:val="Heading2"/>
        <w:numPr>
          <w:ilvl w:val="1"/>
          <w:numId w:val="21"/>
        </w:numPr>
        <w:ind w:left="567" w:hanging="567"/>
        <w:rPr>
          <w:rFonts w:ascii="Times New Roman" w:hAnsi="Times New Roman" w:cs="Times New Roman"/>
          <w:color w:val="auto"/>
        </w:rPr>
      </w:pPr>
      <w:r w:rsidRPr="0039164C">
        <w:rPr>
          <w:rFonts w:ascii="Times New Roman" w:hAnsi="Times New Roman" w:cs="Times New Roman"/>
          <w:b w:val="0"/>
          <w:color w:val="000000" w:themeColor="text1"/>
          <w:sz w:val="24"/>
          <w:szCs w:val="24"/>
        </w:rPr>
        <w:t>The Funding and Disclosure Services section of last year’s Annual Report of the Commission emphasises the manner in which the Commission assists in educating clients as to their disclosure obligations and the work it does to ensure that returns lodged are accurate. The compliance reviews are referred to as a means by which errors and omissions in the returns are identified and corrected before publication.</w:t>
      </w:r>
      <w:bookmarkEnd w:id="39"/>
    </w:p>
    <w:p w:rsidR="003B690A" w:rsidRPr="003B690A" w:rsidRDefault="00382B38" w:rsidP="003B690A">
      <w:pPr>
        <w:pStyle w:val="Heading2"/>
        <w:numPr>
          <w:ilvl w:val="1"/>
          <w:numId w:val="21"/>
        </w:numPr>
        <w:ind w:left="567" w:hanging="567"/>
        <w:rPr>
          <w:rFonts w:ascii="Times New Roman" w:hAnsi="Times New Roman" w:cs="Times New Roman"/>
          <w:b w:val="0"/>
          <w:color w:val="000000" w:themeColor="text1"/>
          <w:sz w:val="24"/>
          <w:szCs w:val="24"/>
        </w:rPr>
      </w:pPr>
      <w:bookmarkStart w:id="40" w:name="_Toc339540865"/>
      <w:r w:rsidRPr="00775444">
        <w:rPr>
          <w:rFonts w:ascii="Times New Roman" w:hAnsi="Times New Roman" w:cs="Times New Roman"/>
          <w:b w:val="0"/>
          <w:color w:val="000000" w:themeColor="text1"/>
          <w:sz w:val="24"/>
          <w:szCs w:val="24"/>
        </w:rPr>
        <w:t>Reference is</w:t>
      </w:r>
      <w:r w:rsidR="00AB7A8D">
        <w:rPr>
          <w:rFonts w:ascii="Times New Roman" w:hAnsi="Times New Roman" w:cs="Times New Roman"/>
          <w:b w:val="0"/>
          <w:color w:val="000000" w:themeColor="text1"/>
          <w:sz w:val="24"/>
          <w:szCs w:val="24"/>
        </w:rPr>
        <w:t xml:space="preserve"> then made to the Commission’s ‘broader’</w:t>
      </w:r>
      <w:r w:rsidRPr="00775444">
        <w:rPr>
          <w:rFonts w:ascii="Times New Roman" w:hAnsi="Times New Roman" w:cs="Times New Roman"/>
          <w:b w:val="0"/>
          <w:color w:val="000000" w:themeColor="text1"/>
          <w:sz w:val="24"/>
          <w:szCs w:val="24"/>
        </w:rPr>
        <w:t xml:space="preserve"> investigative powers in relation to possible breaches of the disclosure provisions noti</w:t>
      </w:r>
      <w:r w:rsidR="00AB7A8D">
        <w:rPr>
          <w:rFonts w:ascii="Times New Roman" w:hAnsi="Times New Roman" w:cs="Times New Roman"/>
          <w:b w:val="0"/>
          <w:color w:val="000000" w:themeColor="text1"/>
          <w:sz w:val="24"/>
          <w:szCs w:val="24"/>
        </w:rPr>
        <w:t>ng finally that the Commission ‘</w:t>
      </w:r>
      <w:r w:rsidRPr="00775444">
        <w:rPr>
          <w:rFonts w:ascii="Times New Roman" w:hAnsi="Times New Roman" w:cs="Times New Roman"/>
          <w:b w:val="0"/>
          <w:color w:val="000000" w:themeColor="text1"/>
          <w:sz w:val="24"/>
          <w:szCs w:val="24"/>
        </w:rPr>
        <w:t>…</w:t>
      </w:r>
      <w:r w:rsidRPr="00AB7A8D">
        <w:rPr>
          <w:rFonts w:ascii="Times New Roman" w:hAnsi="Times New Roman" w:cs="Times New Roman"/>
          <w:b w:val="0"/>
          <w:i/>
          <w:color w:val="000000" w:themeColor="text1"/>
          <w:sz w:val="24"/>
          <w:szCs w:val="24"/>
        </w:rPr>
        <w:t>makes a judgement as to whether the potential breach may compromise public disclosure to a sufficient degree to justify diverting resources to conduct an investigation</w:t>
      </w:r>
      <w:r w:rsidRPr="00775444">
        <w:rPr>
          <w:rFonts w:ascii="Times New Roman" w:hAnsi="Times New Roman" w:cs="Times New Roman"/>
          <w:b w:val="0"/>
          <w:color w:val="000000" w:themeColor="text1"/>
          <w:sz w:val="24"/>
          <w:szCs w:val="24"/>
        </w:rPr>
        <w:t>.</w:t>
      </w:r>
      <w:r w:rsidR="00AB7A8D">
        <w:rPr>
          <w:rFonts w:ascii="Times New Roman" w:hAnsi="Times New Roman" w:cs="Times New Roman"/>
          <w:b w:val="0"/>
          <w:color w:val="000000" w:themeColor="text1"/>
          <w:sz w:val="24"/>
          <w:szCs w:val="24"/>
        </w:rPr>
        <w:t>’</w:t>
      </w:r>
      <w:r w:rsidRPr="00775444">
        <w:rPr>
          <w:rFonts w:ascii="Times New Roman" w:hAnsi="Times New Roman" w:cs="Times New Roman"/>
          <w:b w:val="0"/>
          <w:color w:val="000000" w:themeColor="text1"/>
          <w:sz w:val="24"/>
          <w:szCs w:val="24"/>
        </w:rPr>
        <w:t xml:space="preserve">  While these comments are unexceptional in themselves they confirm the view that the main focus of the compliance reviews is more about </w:t>
      </w:r>
      <w:r w:rsidR="00C511A9">
        <w:rPr>
          <w:rFonts w:ascii="Times New Roman" w:hAnsi="Times New Roman" w:cs="Times New Roman"/>
          <w:b w:val="0"/>
          <w:color w:val="000000" w:themeColor="text1"/>
          <w:sz w:val="24"/>
          <w:szCs w:val="24"/>
        </w:rPr>
        <w:t>‘</w:t>
      </w:r>
      <w:r w:rsidRPr="00775444">
        <w:rPr>
          <w:rFonts w:ascii="Times New Roman" w:hAnsi="Times New Roman" w:cs="Times New Roman"/>
          <w:b w:val="0"/>
          <w:color w:val="000000" w:themeColor="text1"/>
          <w:sz w:val="24"/>
          <w:szCs w:val="24"/>
        </w:rPr>
        <w:t>good housekeeping</w:t>
      </w:r>
      <w:r w:rsidR="00C511A9">
        <w:rPr>
          <w:rFonts w:ascii="Times New Roman" w:hAnsi="Times New Roman" w:cs="Times New Roman"/>
          <w:b w:val="0"/>
          <w:color w:val="000000" w:themeColor="text1"/>
          <w:sz w:val="24"/>
          <w:szCs w:val="24"/>
        </w:rPr>
        <w:t>’</w:t>
      </w:r>
      <w:r w:rsidRPr="00775444">
        <w:rPr>
          <w:rFonts w:ascii="Times New Roman" w:hAnsi="Times New Roman" w:cs="Times New Roman"/>
          <w:b w:val="0"/>
          <w:color w:val="000000" w:themeColor="text1"/>
          <w:sz w:val="24"/>
          <w:szCs w:val="24"/>
        </w:rPr>
        <w:t xml:space="preserve"> rather than being directed at reinforcing a full and frank disclosure process through specific testing for si</w:t>
      </w:r>
      <w:r w:rsidR="007C38A0" w:rsidRPr="00775444">
        <w:rPr>
          <w:rFonts w:ascii="Times New Roman" w:hAnsi="Times New Roman" w:cs="Times New Roman"/>
          <w:b w:val="0"/>
          <w:color w:val="000000" w:themeColor="text1"/>
          <w:sz w:val="24"/>
          <w:szCs w:val="24"/>
        </w:rPr>
        <w:t>gns of non-</w:t>
      </w:r>
      <w:r w:rsidRPr="00775444">
        <w:rPr>
          <w:rFonts w:ascii="Times New Roman" w:hAnsi="Times New Roman" w:cs="Times New Roman"/>
          <w:b w:val="0"/>
          <w:color w:val="000000" w:themeColor="text1"/>
          <w:sz w:val="24"/>
          <w:szCs w:val="24"/>
        </w:rPr>
        <w:t>disclosure.</w:t>
      </w:r>
      <w:bookmarkEnd w:id="40"/>
      <w:r w:rsidRPr="00775444">
        <w:rPr>
          <w:rFonts w:ascii="Times New Roman" w:hAnsi="Times New Roman" w:cs="Times New Roman"/>
          <w:b w:val="0"/>
          <w:color w:val="000000" w:themeColor="text1"/>
          <w:sz w:val="24"/>
          <w:szCs w:val="24"/>
        </w:rPr>
        <w:t xml:space="preserve">  </w:t>
      </w:r>
    </w:p>
    <w:p w:rsidR="000407C8" w:rsidRDefault="00382B38" w:rsidP="000407C8">
      <w:pPr>
        <w:pStyle w:val="Heading2"/>
        <w:numPr>
          <w:ilvl w:val="1"/>
          <w:numId w:val="21"/>
        </w:numPr>
        <w:ind w:left="567" w:hanging="567"/>
        <w:rPr>
          <w:rFonts w:ascii="Times New Roman" w:hAnsi="Times New Roman" w:cs="Times New Roman"/>
          <w:b w:val="0"/>
          <w:color w:val="000000" w:themeColor="text1"/>
          <w:sz w:val="24"/>
          <w:szCs w:val="24"/>
        </w:rPr>
      </w:pPr>
      <w:bookmarkStart w:id="41" w:name="_Toc339540866"/>
      <w:r w:rsidRPr="00775444">
        <w:rPr>
          <w:rFonts w:ascii="Times New Roman" w:hAnsi="Times New Roman" w:cs="Times New Roman"/>
          <w:b w:val="0"/>
          <w:color w:val="000000" w:themeColor="text1"/>
          <w:sz w:val="24"/>
          <w:szCs w:val="24"/>
        </w:rPr>
        <w:t>The annual report published key performance indicators for the Funding and Disclosure Services group as follows:</w:t>
      </w:r>
      <w:bookmarkEnd w:id="41"/>
    </w:p>
    <w:p w:rsidR="000407C8" w:rsidRPr="000407C8" w:rsidRDefault="000407C8" w:rsidP="000407C8">
      <w:pPr>
        <w:spacing w:after="0"/>
      </w:pPr>
    </w:p>
    <w:p w:rsidR="000407C8" w:rsidRDefault="00382B38" w:rsidP="000407C8">
      <w:pPr>
        <w:pStyle w:val="ListParagraph"/>
        <w:numPr>
          <w:ilvl w:val="0"/>
          <w:numId w:val="11"/>
        </w:numPr>
        <w:spacing w:after="0"/>
        <w:rPr>
          <w:rFonts w:ascii="Times New Roman" w:hAnsi="Times New Roman" w:cs="Times New Roman"/>
          <w:sz w:val="24"/>
          <w:szCs w:val="24"/>
        </w:rPr>
      </w:pPr>
      <w:r w:rsidRPr="000407C8">
        <w:rPr>
          <w:rFonts w:ascii="Times New Roman" w:hAnsi="Times New Roman" w:cs="Times New Roman"/>
          <w:sz w:val="24"/>
          <w:szCs w:val="24"/>
        </w:rPr>
        <w:t>Election funding calculated and paid in accordance with the legislation, and</w:t>
      </w:r>
      <w:r w:rsidR="000407C8" w:rsidRPr="000407C8">
        <w:rPr>
          <w:rFonts w:ascii="Times New Roman" w:hAnsi="Times New Roman" w:cs="Times New Roman"/>
          <w:sz w:val="24"/>
          <w:szCs w:val="24"/>
        </w:rPr>
        <w:t xml:space="preserve"> </w:t>
      </w:r>
    </w:p>
    <w:p w:rsidR="00382B38" w:rsidRDefault="00382B38" w:rsidP="000407C8">
      <w:pPr>
        <w:pStyle w:val="ListParagraph"/>
        <w:numPr>
          <w:ilvl w:val="0"/>
          <w:numId w:val="11"/>
        </w:numPr>
        <w:spacing w:after="0"/>
        <w:rPr>
          <w:rFonts w:ascii="Times New Roman" w:hAnsi="Times New Roman" w:cs="Times New Roman"/>
          <w:sz w:val="24"/>
          <w:szCs w:val="24"/>
        </w:rPr>
      </w:pPr>
      <w:r w:rsidRPr="000407C8">
        <w:rPr>
          <w:rFonts w:ascii="Times New Roman" w:hAnsi="Times New Roman" w:cs="Times New Roman"/>
          <w:sz w:val="24"/>
          <w:szCs w:val="24"/>
        </w:rPr>
        <w:t>Financial disclosures obtained and placed on the public record in accordance with legislated timetables</w:t>
      </w:r>
    </w:p>
    <w:p w:rsidR="000407C8" w:rsidRPr="000407C8" w:rsidRDefault="000407C8" w:rsidP="0062394E">
      <w:pPr>
        <w:pStyle w:val="ListParagraph"/>
        <w:spacing w:after="0"/>
        <w:ind w:left="1797"/>
        <w:rPr>
          <w:rFonts w:ascii="Times New Roman" w:hAnsi="Times New Roman" w:cs="Times New Roman"/>
          <w:sz w:val="24"/>
          <w:szCs w:val="24"/>
        </w:rPr>
      </w:pPr>
    </w:p>
    <w:p w:rsidR="00382B38" w:rsidRDefault="00382B38" w:rsidP="00187163">
      <w:pPr>
        <w:ind w:firstLine="720"/>
        <w:rPr>
          <w:rFonts w:ascii="Times New Roman" w:hAnsi="Times New Roman" w:cs="Times New Roman"/>
          <w:sz w:val="24"/>
          <w:szCs w:val="24"/>
        </w:rPr>
      </w:pPr>
      <w:r>
        <w:rPr>
          <w:rFonts w:ascii="Times New Roman" w:hAnsi="Times New Roman" w:cs="Times New Roman"/>
          <w:sz w:val="24"/>
          <w:szCs w:val="24"/>
        </w:rPr>
        <w:t>The results reported for these two performance indicators in 2010-11 were:</w:t>
      </w:r>
    </w:p>
    <w:p w:rsidR="00382B38" w:rsidRPr="00EE3DFF" w:rsidRDefault="00382B38" w:rsidP="00382B38">
      <w:pPr>
        <w:pStyle w:val="ListParagraph"/>
        <w:numPr>
          <w:ilvl w:val="0"/>
          <w:numId w:val="2"/>
        </w:numPr>
        <w:rPr>
          <w:rFonts w:ascii="Times New Roman" w:hAnsi="Times New Roman" w:cs="Times New Roman"/>
          <w:sz w:val="24"/>
          <w:szCs w:val="24"/>
        </w:rPr>
      </w:pPr>
      <w:r w:rsidRPr="00EE3DFF">
        <w:rPr>
          <w:rFonts w:ascii="Times New Roman" w:hAnsi="Times New Roman" w:cs="Times New Roman"/>
          <w:sz w:val="24"/>
          <w:szCs w:val="24"/>
        </w:rPr>
        <w:t>Achieved: 99% of entitlements for the 2010 federal election were paid in the fourth week after polling day</w:t>
      </w:r>
      <w:r>
        <w:rPr>
          <w:rFonts w:ascii="Times New Roman" w:hAnsi="Times New Roman" w:cs="Times New Roman"/>
          <w:sz w:val="24"/>
          <w:szCs w:val="24"/>
        </w:rPr>
        <w:t>,</w:t>
      </w:r>
    </w:p>
    <w:p w:rsidR="00382B38" w:rsidRDefault="00382B38" w:rsidP="00382B38">
      <w:pPr>
        <w:pStyle w:val="ListParagraph"/>
        <w:numPr>
          <w:ilvl w:val="0"/>
          <w:numId w:val="2"/>
        </w:numPr>
        <w:rPr>
          <w:rFonts w:ascii="Times New Roman" w:hAnsi="Times New Roman" w:cs="Times New Roman"/>
          <w:sz w:val="24"/>
          <w:szCs w:val="24"/>
        </w:rPr>
      </w:pPr>
      <w:r w:rsidRPr="00EE3DFF">
        <w:rPr>
          <w:rFonts w:ascii="Times New Roman" w:hAnsi="Times New Roman" w:cs="Times New Roman"/>
          <w:sz w:val="24"/>
          <w:szCs w:val="24"/>
        </w:rPr>
        <w:t>Achieved: Financial disclosure returns were published within the legislated timeframes</w:t>
      </w:r>
    </w:p>
    <w:p w:rsidR="00B94F23" w:rsidRPr="00B94F23" w:rsidRDefault="00382B38" w:rsidP="00B94F23">
      <w:pPr>
        <w:pStyle w:val="Heading2"/>
        <w:numPr>
          <w:ilvl w:val="1"/>
          <w:numId w:val="21"/>
        </w:numPr>
        <w:ind w:left="567" w:hanging="567"/>
        <w:rPr>
          <w:rFonts w:ascii="Times New Roman" w:hAnsi="Times New Roman" w:cs="Times New Roman"/>
          <w:b w:val="0"/>
          <w:color w:val="000000" w:themeColor="text1"/>
          <w:sz w:val="24"/>
          <w:szCs w:val="24"/>
        </w:rPr>
      </w:pPr>
      <w:bookmarkStart w:id="42" w:name="_Toc339540867"/>
      <w:r w:rsidRPr="00775444">
        <w:rPr>
          <w:rFonts w:ascii="Times New Roman" w:hAnsi="Times New Roman" w:cs="Times New Roman"/>
          <w:b w:val="0"/>
          <w:color w:val="000000" w:themeColor="text1"/>
          <w:sz w:val="24"/>
          <w:szCs w:val="24"/>
        </w:rPr>
        <w:lastRenderedPageBreak/>
        <w:t xml:space="preserve">A pleasing result for the Commission no doubt but it </w:t>
      </w:r>
      <w:r w:rsidR="000A4BFF" w:rsidRPr="00775444">
        <w:rPr>
          <w:rFonts w:ascii="Times New Roman" w:hAnsi="Times New Roman" w:cs="Times New Roman"/>
          <w:b w:val="0"/>
          <w:color w:val="000000" w:themeColor="text1"/>
          <w:sz w:val="24"/>
          <w:szCs w:val="24"/>
        </w:rPr>
        <w:t xml:space="preserve">would have </w:t>
      </w:r>
      <w:r w:rsidRPr="00775444">
        <w:rPr>
          <w:rFonts w:ascii="Times New Roman" w:hAnsi="Times New Roman" w:cs="Times New Roman"/>
          <w:b w:val="0"/>
          <w:color w:val="000000" w:themeColor="text1"/>
          <w:sz w:val="24"/>
          <w:szCs w:val="24"/>
        </w:rPr>
        <w:t xml:space="preserve">added little to community confidence that there was an effective enforcement regime in place </w:t>
      </w:r>
      <w:r w:rsidR="00EE0D05" w:rsidRPr="00775444">
        <w:rPr>
          <w:rFonts w:ascii="Times New Roman" w:hAnsi="Times New Roman" w:cs="Times New Roman"/>
          <w:b w:val="0"/>
          <w:color w:val="000000" w:themeColor="text1"/>
          <w:sz w:val="24"/>
          <w:szCs w:val="24"/>
        </w:rPr>
        <w:t>designed</w:t>
      </w:r>
      <w:r w:rsidRPr="00775444">
        <w:rPr>
          <w:rFonts w:ascii="Times New Roman" w:hAnsi="Times New Roman" w:cs="Times New Roman"/>
          <w:b w:val="0"/>
          <w:color w:val="000000" w:themeColor="text1"/>
          <w:sz w:val="24"/>
          <w:szCs w:val="24"/>
        </w:rPr>
        <w:t xml:space="preserve"> to discourage deliberate non-disclosure.</w:t>
      </w:r>
      <w:bookmarkEnd w:id="42"/>
      <w:r w:rsidRPr="00775444">
        <w:rPr>
          <w:rFonts w:ascii="Times New Roman" w:hAnsi="Times New Roman" w:cs="Times New Roman"/>
          <w:b w:val="0"/>
          <w:color w:val="000000" w:themeColor="text1"/>
          <w:sz w:val="24"/>
          <w:szCs w:val="24"/>
        </w:rPr>
        <w:t xml:space="preserve"> </w:t>
      </w:r>
    </w:p>
    <w:p w:rsidR="00B94F23" w:rsidRPr="00B94F23" w:rsidRDefault="002B3996" w:rsidP="00B94F23">
      <w:pPr>
        <w:pStyle w:val="Heading2"/>
        <w:numPr>
          <w:ilvl w:val="1"/>
          <w:numId w:val="21"/>
        </w:numPr>
        <w:ind w:left="567" w:hanging="567"/>
        <w:rPr>
          <w:rFonts w:ascii="Times New Roman" w:hAnsi="Times New Roman" w:cs="Times New Roman"/>
          <w:b w:val="0"/>
          <w:color w:val="000000" w:themeColor="text1"/>
          <w:sz w:val="24"/>
          <w:szCs w:val="24"/>
        </w:rPr>
      </w:pPr>
      <w:bookmarkStart w:id="43" w:name="_Toc339540868"/>
      <w:r w:rsidRPr="00775444">
        <w:rPr>
          <w:rFonts w:ascii="Times New Roman" w:hAnsi="Times New Roman" w:cs="Times New Roman"/>
          <w:b w:val="0"/>
          <w:color w:val="000000" w:themeColor="text1"/>
          <w:sz w:val="24"/>
          <w:szCs w:val="24"/>
        </w:rPr>
        <w:t xml:space="preserve">I believe that the way in which the compliance function is being performed today falls short of fully meeting the parliamentary expectations when the amendment was passed in 1991. The heavy emphasis on compliance </w:t>
      </w:r>
      <w:r w:rsidR="000A4BFF" w:rsidRPr="00775444">
        <w:rPr>
          <w:rFonts w:ascii="Times New Roman" w:hAnsi="Times New Roman" w:cs="Times New Roman"/>
          <w:b w:val="0"/>
          <w:color w:val="000000" w:themeColor="text1"/>
          <w:sz w:val="24"/>
          <w:szCs w:val="24"/>
        </w:rPr>
        <w:t>reviews</w:t>
      </w:r>
      <w:r w:rsidRPr="00775444">
        <w:rPr>
          <w:rFonts w:ascii="Times New Roman" w:hAnsi="Times New Roman" w:cs="Times New Roman"/>
          <w:b w:val="0"/>
          <w:color w:val="000000" w:themeColor="text1"/>
          <w:sz w:val="24"/>
          <w:szCs w:val="24"/>
        </w:rPr>
        <w:t xml:space="preserve"> that have concentrated on the accuracy of disclosure returns lodged compared with the relative absence of revie</w:t>
      </w:r>
      <w:r w:rsidR="00FD7085">
        <w:rPr>
          <w:rFonts w:ascii="Times New Roman" w:hAnsi="Times New Roman" w:cs="Times New Roman"/>
          <w:b w:val="0"/>
          <w:color w:val="000000" w:themeColor="text1"/>
          <w:sz w:val="24"/>
          <w:szCs w:val="24"/>
        </w:rPr>
        <w:t>ws focussing on non-disclosure appears to have been accepted by past senior management ‘administrations’ within the Commission</w:t>
      </w:r>
      <w:r w:rsidR="00041E7F">
        <w:rPr>
          <w:rFonts w:ascii="Times New Roman" w:hAnsi="Times New Roman" w:cs="Times New Roman"/>
          <w:b w:val="0"/>
          <w:color w:val="000000" w:themeColor="text1"/>
          <w:sz w:val="24"/>
          <w:szCs w:val="24"/>
        </w:rPr>
        <w:t xml:space="preserve"> and has continued largely unchanged for some years</w:t>
      </w:r>
      <w:r w:rsidR="00FD7085">
        <w:rPr>
          <w:rFonts w:ascii="Times New Roman" w:hAnsi="Times New Roman" w:cs="Times New Roman"/>
          <w:b w:val="0"/>
          <w:color w:val="000000" w:themeColor="text1"/>
          <w:sz w:val="24"/>
          <w:szCs w:val="24"/>
        </w:rPr>
        <w:t xml:space="preserve">.  However, it </w:t>
      </w:r>
      <w:r w:rsidRPr="00775444">
        <w:rPr>
          <w:rFonts w:ascii="Times New Roman" w:hAnsi="Times New Roman" w:cs="Times New Roman"/>
          <w:b w:val="0"/>
          <w:color w:val="000000" w:themeColor="text1"/>
          <w:sz w:val="24"/>
          <w:szCs w:val="24"/>
        </w:rPr>
        <w:t xml:space="preserve">does not </w:t>
      </w:r>
      <w:r w:rsidR="00FD7085">
        <w:rPr>
          <w:rFonts w:ascii="Times New Roman" w:hAnsi="Times New Roman" w:cs="Times New Roman"/>
          <w:b w:val="0"/>
          <w:color w:val="000000" w:themeColor="text1"/>
          <w:sz w:val="24"/>
          <w:szCs w:val="24"/>
        </w:rPr>
        <w:t xml:space="preserve">adequately </w:t>
      </w:r>
      <w:r w:rsidRPr="00775444">
        <w:rPr>
          <w:rFonts w:ascii="Times New Roman" w:hAnsi="Times New Roman" w:cs="Times New Roman"/>
          <w:b w:val="0"/>
          <w:color w:val="000000" w:themeColor="text1"/>
          <w:sz w:val="24"/>
          <w:szCs w:val="24"/>
        </w:rPr>
        <w:t>address the more serious concern – the potential corruptive influence of secret donations.</w:t>
      </w:r>
      <w:bookmarkEnd w:id="43"/>
    </w:p>
    <w:p w:rsidR="00B94F23" w:rsidRPr="00B94F23" w:rsidRDefault="00496200" w:rsidP="00B94F23">
      <w:pPr>
        <w:pStyle w:val="Heading2"/>
        <w:numPr>
          <w:ilvl w:val="1"/>
          <w:numId w:val="21"/>
        </w:numPr>
        <w:ind w:left="567" w:hanging="567"/>
        <w:rPr>
          <w:rFonts w:ascii="Times New Roman" w:hAnsi="Times New Roman" w:cs="Times New Roman"/>
          <w:b w:val="0"/>
          <w:color w:val="000000" w:themeColor="text1"/>
          <w:sz w:val="24"/>
          <w:szCs w:val="24"/>
        </w:rPr>
      </w:pPr>
      <w:bookmarkStart w:id="44" w:name="_Toc339540869"/>
      <w:r w:rsidRPr="00775444">
        <w:rPr>
          <w:rFonts w:ascii="Times New Roman" w:hAnsi="Times New Roman" w:cs="Times New Roman"/>
          <w:b w:val="0"/>
          <w:color w:val="000000" w:themeColor="text1"/>
          <w:sz w:val="24"/>
          <w:szCs w:val="24"/>
        </w:rPr>
        <w:t>The labelling of the c</w:t>
      </w:r>
      <w:r w:rsidR="004D12FC">
        <w:rPr>
          <w:rFonts w:ascii="Times New Roman" w:hAnsi="Times New Roman" w:cs="Times New Roman"/>
          <w:b w:val="0"/>
          <w:color w:val="000000" w:themeColor="text1"/>
          <w:sz w:val="24"/>
          <w:szCs w:val="24"/>
        </w:rPr>
        <w:t>ompliance checks undertaken as ‘reviews’  rather than ‘audits’</w:t>
      </w:r>
      <w:r w:rsidRPr="00775444">
        <w:rPr>
          <w:rFonts w:ascii="Times New Roman" w:hAnsi="Times New Roman" w:cs="Times New Roman"/>
          <w:b w:val="0"/>
          <w:color w:val="000000" w:themeColor="text1"/>
          <w:sz w:val="24"/>
          <w:szCs w:val="24"/>
        </w:rPr>
        <w:t xml:space="preserve">,  the term used by the parliamentarians when the proposed new section 316(2A) was being debated, </w:t>
      </w:r>
      <w:r w:rsidR="00034CB3" w:rsidRPr="00775444">
        <w:rPr>
          <w:rFonts w:ascii="Times New Roman" w:hAnsi="Times New Roman" w:cs="Times New Roman"/>
          <w:b w:val="0"/>
          <w:color w:val="000000" w:themeColor="text1"/>
          <w:sz w:val="24"/>
          <w:szCs w:val="24"/>
        </w:rPr>
        <w:t xml:space="preserve">also </w:t>
      </w:r>
      <w:r w:rsidRPr="00775444">
        <w:rPr>
          <w:rFonts w:ascii="Times New Roman" w:hAnsi="Times New Roman" w:cs="Times New Roman"/>
          <w:b w:val="0"/>
          <w:color w:val="000000" w:themeColor="text1"/>
          <w:sz w:val="24"/>
          <w:szCs w:val="24"/>
        </w:rPr>
        <w:t>lends support to the view that what emerged from the legislative change is a weaker process of scrutiny than what had been anticipated.</w:t>
      </w:r>
      <w:bookmarkEnd w:id="44"/>
    </w:p>
    <w:p w:rsidR="00B94F23" w:rsidRPr="00B94F23" w:rsidRDefault="004E32EF" w:rsidP="00B94F23">
      <w:pPr>
        <w:pStyle w:val="Heading2"/>
        <w:numPr>
          <w:ilvl w:val="1"/>
          <w:numId w:val="21"/>
        </w:numPr>
        <w:ind w:left="567" w:hanging="567"/>
        <w:rPr>
          <w:rFonts w:ascii="Times New Roman" w:hAnsi="Times New Roman" w:cs="Times New Roman"/>
          <w:b w:val="0"/>
          <w:color w:val="000000" w:themeColor="text1"/>
          <w:sz w:val="24"/>
          <w:szCs w:val="24"/>
        </w:rPr>
      </w:pPr>
      <w:bookmarkStart w:id="45" w:name="_Toc339540870"/>
      <w:r w:rsidRPr="00775444">
        <w:rPr>
          <w:rFonts w:ascii="Times New Roman" w:hAnsi="Times New Roman" w:cs="Times New Roman"/>
          <w:b w:val="0"/>
          <w:color w:val="000000" w:themeColor="text1"/>
          <w:sz w:val="24"/>
          <w:szCs w:val="24"/>
        </w:rPr>
        <w:t xml:space="preserve">The compliance reviews have proved to be largely ineffective in identifying apparent deliberate failures to declare significant amounts of money or gifts, mainly because their focus has been essentially directed more towards verifying the accuracy of the amounts included in the disclosure returns received. </w:t>
      </w:r>
      <w:r>
        <w:rPr>
          <w:rFonts w:ascii="Times New Roman" w:hAnsi="Times New Roman" w:cs="Times New Roman"/>
          <w:b w:val="0"/>
          <w:color w:val="000000" w:themeColor="text1"/>
          <w:sz w:val="24"/>
          <w:szCs w:val="24"/>
        </w:rPr>
        <w:t xml:space="preserve"> This has been identified as an issue in PwC’s performance audit of the function, which is included at Part 4 of this report.</w:t>
      </w:r>
      <w:bookmarkEnd w:id="45"/>
    </w:p>
    <w:p w:rsidR="00B94F23" w:rsidRPr="00DC3B9D" w:rsidRDefault="004E32EF" w:rsidP="00B94F23">
      <w:pPr>
        <w:pStyle w:val="Heading2"/>
        <w:numPr>
          <w:ilvl w:val="1"/>
          <w:numId w:val="21"/>
        </w:numPr>
        <w:ind w:left="567" w:hanging="567"/>
        <w:rPr>
          <w:rFonts w:ascii="Times New Roman" w:hAnsi="Times New Roman" w:cs="Times New Roman"/>
          <w:b w:val="0"/>
          <w:color w:val="auto"/>
          <w:sz w:val="24"/>
          <w:szCs w:val="24"/>
        </w:rPr>
      </w:pPr>
      <w:bookmarkStart w:id="46" w:name="_Toc339540871"/>
      <w:r w:rsidRPr="00C511A9">
        <w:rPr>
          <w:rFonts w:ascii="Times New Roman" w:hAnsi="Times New Roman" w:cs="Times New Roman"/>
          <w:b w:val="0"/>
          <w:color w:val="auto"/>
          <w:sz w:val="24"/>
          <w:szCs w:val="24"/>
        </w:rPr>
        <w:t>As observed earlier, a substantial sum of money is donated to political parties by a considerable number of persons and organisations.  While it is reasonable to believe that there is likely to be a high degree of honesty associated with the disclosure process, it is considered that the Commission should be seen to be making some effort to satisfy itself that this is so.</w:t>
      </w:r>
      <w:bookmarkEnd w:id="46"/>
    </w:p>
    <w:p w:rsidR="00DC3B9D" w:rsidRPr="00DC3B9D" w:rsidRDefault="004E32EF" w:rsidP="00DC3B9D">
      <w:pPr>
        <w:pStyle w:val="Heading2"/>
        <w:numPr>
          <w:ilvl w:val="1"/>
          <w:numId w:val="21"/>
        </w:numPr>
        <w:ind w:left="567" w:hanging="567"/>
        <w:rPr>
          <w:rFonts w:ascii="Times New Roman" w:hAnsi="Times New Roman" w:cs="Times New Roman"/>
          <w:b w:val="0"/>
          <w:color w:val="auto"/>
          <w:sz w:val="24"/>
          <w:szCs w:val="24"/>
        </w:rPr>
      </w:pPr>
      <w:bookmarkStart w:id="47" w:name="_Toc339540872"/>
      <w:r w:rsidRPr="00C511A9">
        <w:rPr>
          <w:rFonts w:ascii="Times New Roman" w:hAnsi="Times New Roman" w:cs="Times New Roman"/>
          <w:b w:val="0"/>
          <w:color w:val="auto"/>
          <w:sz w:val="24"/>
          <w:szCs w:val="24"/>
        </w:rPr>
        <w:t>It is acknowledged that the dual obligation imposed on donors and recipients to declare receipts above the disclosure threshold is</w:t>
      </w:r>
      <w:r w:rsidR="00B56DD9" w:rsidRPr="00C511A9">
        <w:rPr>
          <w:rFonts w:ascii="Times New Roman" w:hAnsi="Times New Roman" w:cs="Times New Roman"/>
          <w:b w:val="0"/>
          <w:color w:val="auto"/>
          <w:sz w:val="24"/>
          <w:szCs w:val="24"/>
        </w:rPr>
        <w:t>, to a degree,</w:t>
      </w:r>
      <w:r w:rsidRPr="00C511A9">
        <w:rPr>
          <w:rFonts w:ascii="Times New Roman" w:hAnsi="Times New Roman" w:cs="Times New Roman"/>
          <w:b w:val="0"/>
          <w:color w:val="auto"/>
          <w:sz w:val="24"/>
          <w:szCs w:val="24"/>
        </w:rPr>
        <w:t xml:space="preserve"> a valuable mechanism that encourages accurate and complete disclosure.  However, it provides no protection against cases that could involve complicity by the two parties to deliberately conceal a secret donation.  </w:t>
      </w:r>
    </w:p>
    <w:p w:rsidR="00DC3B9D" w:rsidRPr="000F7ED3" w:rsidRDefault="004E32EF" w:rsidP="00DC3B9D">
      <w:pPr>
        <w:pStyle w:val="Heading2"/>
        <w:numPr>
          <w:ilvl w:val="1"/>
          <w:numId w:val="21"/>
        </w:numPr>
        <w:ind w:left="567" w:hanging="567"/>
        <w:rPr>
          <w:rFonts w:ascii="Times New Roman" w:hAnsi="Times New Roman" w:cs="Times New Roman"/>
          <w:b w:val="0"/>
          <w:color w:val="auto"/>
          <w:sz w:val="24"/>
          <w:szCs w:val="24"/>
        </w:rPr>
      </w:pPr>
      <w:r w:rsidRPr="00C511A9">
        <w:rPr>
          <w:rFonts w:ascii="Times New Roman" w:hAnsi="Times New Roman" w:cs="Times New Roman"/>
          <w:b w:val="0"/>
          <w:color w:val="auto"/>
          <w:sz w:val="24"/>
          <w:szCs w:val="24"/>
        </w:rPr>
        <w:t xml:space="preserve">The effectiveness of the dual disclosure obligations is also limited by the differences between the precise nature of the obligations.  Donors to political parties have to disclose individual donations </w:t>
      </w:r>
      <w:r w:rsidR="00187163" w:rsidRPr="00C511A9">
        <w:rPr>
          <w:rFonts w:ascii="Times New Roman" w:hAnsi="Times New Roman" w:cs="Times New Roman"/>
          <w:b w:val="0"/>
          <w:color w:val="auto"/>
          <w:sz w:val="24"/>
          <w:szCs w:val="24"/>
        </w:rPr>
        <w:t>totalling more than</w:t>
      </w:r>
      <w:r w:rsidRPr="00C511A9">
        <w:rPr>
          <w:rFonts w:ascii="Times New Roman" w:hAnsi="Times New Roman" w:cs="Times New Roman"/>
          <w:b w:val="0"/>
          <w:color w:val="auto"/>
          <w:sz w:val="24"/>
          <w:szCs w:val="24"/>
        </w:rPr>
        <w:t xml:space="preserve"> the disclosure threshold and each individual donation to a political party where the total of those donations is </w:t>
      </w:r>
      <w:r w:rsidR="00187163" w:rsidRPr="00C511A9">
        <w:rPr>
          <w:rFonts w:ascii="Times New Roman" w:hAnsi="Times New Roman" w:cs="Times New Roman"/>
          <w:b w:val="0"/>
          <w:color w:val="auto"/>
          <w:sz w:val="24"/>
          <w:szCs w:val="24"/>
        </w:rPr>
        <w:t>more</w:t>
      </w:r>
      <w:r w:rsidRPr="00C511A9">
        <w:rPr>
          <w:rFonts w:ascii="Times New Roman" w:hAnsi="Times New Roman" w:cs="Times New Roman"/>
          <w:b w:val="0"/>
          <w:color w:val="auto"/>
          <w:sz w:val="24"/>
          <w:szCs w:val="24"/>
        </w:rPr>
        <w:t xml:space="preserve"> than the disclosure threshold.</w:t>
      </w:r>
      <w:r w:rsidR="00187163" w:rsidRPr="00C511A9">
        <w:rPr>
          <w:rStyle w:val="FootnoteReference"/>
          <w:rFonts w:ascii="Times New Roman" w:hAnsi="Times New Roman" w:cs="Times New Roman"/>
          <w:b w:val="0"/>
          <w:color w:val="auto"/>
          <w:sz w:val="24"/>
          <w:szCs w:val="24"/>
        </w:rPr>
        <w:footnoteReference w:id="25"/>
      </w:r>
      <w:r w:rsidRPr="00C511A9">
        <w:rPr>
          <w:rFonts w:ascii="Times New Roman" w:hAnsi="Times New Roman" w:cs="Times New Roman"/>
          <w:b w:val="0"/>
          <w:color w:val="auto"/>
          <w:sz w:val="24"/>
          <w:szCs w:val="24"/>
        </w:rPr>
        <w:t xml:space="preserve">  However, political parties </w:t>
      </w:r>
      <w:r w:rsidR="00353D69" w:rsidRPr="00C511A9">
        <w:rPr>
          <w:rFonts w:ascii="Times New Roman" w:hAnsi="Times New Roman" w:cs="Times New Roman"/>
          <w:b w:val="0"/>
          <w:color w:val="auto"/>
          <w:sz w:val="24"/>
          <w:szCs w:val="24"/>
        </w:rPr>
        <w:t xml:space="preserve">only need to disclose </w:t>
      </w:r>
      <w:r w:rsidR="00187163" w:rsidRPr="00C511A9">
        <w:rPr>
          <w:rFonts w:ascii="Times New Roman" w:hAnsi="Times New Roman" w:cs="Times New Roman"/>
          <w:b w:val="0"/>
          <w:color w:val="auto"/>
          <w:sz w:val="24"/>
          <w:szCs w:val="24"/>
        </w:rPr>
        <w:t xml:space="preserve">the </w:t>
      </w:r>
      <w:r w:rsidR="00353D69" w:rsidRPr="00C511A9">
        <w:rPr>
          <w:rFonts w:ascii="Times New Roman" w:hAnsi="Times New Roman" w:cs="Times New Roman"/>
          <w:b w:val="0"/>
          <w:color w:val="auto"/>
          <w:sz w:val="24"/>
          <w:szCs w:val="24"/>
        </w:rPr>
        <w:t xml:space="preserve">total </w:t>
      </w:r>
      <w:r w:rsidR="00187163" w:rsidRPr="00C511A9">
        <w:rPr>
          <w:rFonts w:ascii="Times New Roman" w:hAnsi="Times New Roman" w:cs="Times New Roman"/>
          <w:b w:val="0"/>
          <w:color w:val="auto"/>
          <w:sz w:val="24"/>
          <w:szCs w:val="24"/>
        </w:rPr>
        <w:t xml:space="preserve">of </w:t>
      </w:r>
      <w:r w:rsidR="00353D69" w:rsidRPr="00C511A9">
        <w:rPr>
          <w:rFonts w:ascii="Times New Roman" w:hAnsi="Times New Roman" w:cs="Times New Roman"/>
          <w:b w:val="0"/>
          <w:color w:val="auto"/>
          <w:sz w:val="24"/>
          <w:szCs w:val="24"/>
        </w:rPr>
        <w:t>sum</w:t>
      </w:r>
      <w:r w:rsidR="00187163" w:rsidRPr="00C511A9">
        <w:rPr>
          <w:rFonts w:ascii="Times New Roman" w:hAnsi="Times New Roman" w:cs="Times New Roman"/>
          <w:b w:val="0"/>
          <w:color w:val="auto"/>
          <w:sz w:val="24"/>
          <w:szCs w:val="24"/>
        </w:rPr>
        <w:t>s</w:t>
      </w:r>
      <w:r w:rsidRPr="00C511A9">
        <w:rPr>
          <w:rFonts w:ascii="Times New Roman" w:hAnsi="Times New Roman" w:cs="Times New Roman"/>
          <w:b w:val="0"/>
          <w:color w:val="auto"/>
          <w:sz w:val="24"/>
          <w:szCs w:val="24"/>
        </w:rPr>
        <w:t xml:space="preserve"> received</w:t>
      </w:r>
      <w:r w:rsidR="006407BD" w:rsidRPr="00C511A9">
        <w:rPr>
          <w:rFonts w:ascii="Times New Roman" w:hAnsi="Times New Roman" w:cs="Times New Roman"/>
          <w:b w:val="0"/>
          <w:color w:val="auto"/>
          <w:sz w:val="24"/>
          <w:szCs w:val="24"/>
        </w:rPr>
        <w:t xml:space="preserve"> from individual donations</w:t>
      </w:r>
      <w:r w:rsidRPr="00C511A9">
        <w:rPr>
          <w:rFonts w:ascii="Times New Roman" w:hAnsi="Times New Roman" w:cs="Times New Roman"/>
          <w:b w:val="0"/>
          <w:color w:val="auto"/>
          <w:sz w:val="24"/>
          <w:szCs w:val="24"/>
        </w:rPr>
        <w:t xml:space="preserve"> that are ‘more than’ the disclosure threshold.</w:t>
      </w:r>
      <w:bookmarkEnd w:id="47"/>
      <w:r w:rsidR="00187163" w:rsidRPr="00C511A9">
        <w:rPr>
          <w:rStyle w:val="FootnoteReference"/>
          <w:rFonts w:ascii="Times New Roman" w:hAnsi="Times New Roman" w:cs="Times New Roman"/>
          <w:b w:val="0"/>
          <w:color w:val="auto"/>
          <w:sz w:val="24"/>
          <w:szCs w:val="24"/>
        </w:rPr>
        <w:footnoteReference w:id="26"/>
      </w:r>
    </w:p>
    <w:p w:rsidR="004E32EF" w:rsidRPr="003268AA" w:rsidRDefault="00353D69" w:rsidP="004E32EF">
      <w:pPr>
        <w:pStyle w:val="Heading2"/>
        <w:numPr>
          <w:ilvl w:val="1"/>
          <w:numId w:val="21"/>
        </w:numPr>
        <w:ind w:left="567" w:hanging="567"/>
        <w:rPr>
          <w:rFonts w:ascii="Times New Roman" w:hAnsi="Times New Roman" w:cs="Times New Roman"/>
          <w:b w:val="0"/>
          <w:color w:val="auto"/>
        </w:rPr>
      </w:pPr>
      <w:bookmarkStart w:id="48" w:name="_Toc339540873"/>
      <w:r>
        <w:rPr>
          <w:rFonts w:ascii="Times New Roman" w:hAnsi="Times New Roman" w:cs="Times New Roman"/>
          <w:b w:val="0"/>
          <w:color w:val="auto"/>
        </w:rPr>
        <w:lastRenderedPageBreak/>
        <w:t>T</w:t>
      </w:r>
      <w:r w:rsidR="004E32EF">
        <w:rPr>
          <w:rFonts w:ascii="Times New Roman" w:hAnsi="Times New Roman" w:cs="Times New Roman"/>
          <w:b w:val="0"/>
          <w:color w:val="auto"/>
        </w:rPr>
        <w:t>he</w:t>
      </w:r>
      <w:r w:rsidR="00CF191E">
        <w:rPr>
          <w:rFonts w:ascii="Times New Roman" w:hAnsi="Times New Roman" w:cs="Times New Roman"/>
          <w:b w:val="0"/>
          <w:color w:val="auto"/>
        </w:rPr>
        <w:t>s</w:t>
      </w:r>
      <w:r w:rsidR="004E32EF">
        <w:rPr>
          <w:rFonts w:ascii="Times New Roman" w:hAnsi="Times New Roman" w:cs="Times New Roman"/>
          <w:b w:val="0"/>
          <w:color w:val="auto"/>
        </w:rPr>
        <w:t>e are inherent limitations in the design of the</w:t>
      </w:r>
      <w:r>
        <w:rPr>
          <w:rFonts w:ascii="Times New Roman" w:hAnsi="Times New Roman" w:cs="Times New Roman"/>
          <w:b w:val="0"/>
          <w:color w:val="auto"/>
        </w:rPr>
        <w:t xml:space="preserve"> present</w:t>
      </w:r>
      <w:r w:rsidR="004E32EF">
        <w:rPr>
          <w:rFonts w:ascii="Times New Roman" w:hAnsi="Times New Roman" w:cs="Times New Roman"/>
          <w:b w:val="0"/>
          <w:color w:val="auto"/>
        </w:rPr>
        <w:t xml:space="preserve"> disclosure scheme that need to be taken into account in its administration.</w:t>
      </w:r>
      <w:r w:rsidR="004E32EF">
        <w:rPr>
          <w:rStyle w:val="FootnoteReference"/>
          <w:rFonts w:ascii="Times New Roman" w:hAnsi="Times New Roman" w:cs="Times New Roman"/>
          <w:b w:val="0"/>
          <w:color w:val="auto"/>
        </w:rPr>
        <w:footnoteReference w:id="27"/>
      </w:r>
      <w:bookmarkEnd w:id="48"/>
    </w:p>
    <w:p w:rsidR="004E32EF" w:rsidRPr="004E32EF" w:rsidRDefault="00353D69" w:rsidP="004E32EF">
      <w:pPr>
        <w:pStyle w:val="Heading2"/>
        <w:numPr>
          <w:ilvl w:val="1"/>
          <w:numId w:val="21"/>
        </w:numPr>
        <w:ind w:left="567" w:hanging="567"/>
        <w:rPr>
          <w:rFonts w:ascii="Times New Roman" w:hAnsi="Times New Roman" w:cs="Times New Roman"/>
          <w:b w:val="0"/>
          <w:color w:val="000000" w:themeColor="text1"/>
          <w:sz w:val="24"/>
          <w:szCs w:val="24"/>
        </w:rPr>
      </w:pPr>
      <w:bookmarkStart w:id="49" w:name="_Toc339540874"/>
      <w:r>
        <w:rPr>
          <w:rFonts w:ascii="Times New Roman" w:hAnsi="Times New Roman" w:cs="Times New Roman"/>
          <w:b w:val="0"/>
          <w:color w:val="000000" w:themeColor="text1"/>
          <w:sz w:val="24"/>
          <w:szCs w:val="24"/>
        </w:rPr>
        <w:t>On the surface, t</w:t>
      </w:r>
      <w:r w:rsidR="00496200" w:rsidRPr="00775444">
        <w:rPr>
          <w:rFonts w:ascii="Times New Roman" w:hAnsi="Times New Roman" w:cs="Times New Roman"/>
          <w:b w:val="0"/>
          <w:color w:val="000000" w:themeColor="text1"/>
          <w:sz w:val="24"/>
          <w:szCs w:val="24"/>
        </w:rPr>
        <w:t xml:space="preserve">he most positive benefit to the community is the assurance that flows from the existence of the public disclosure laws, bolstered by the Commission’s enforcement </w:t>
      </w:r>
      <w:r w:rsidR="00D90D9A" w:rsidRPr="00775444">
        <w:rPr>
          <w:rFonts w:ascii="Times New Roman" w:hAnsi="Times New Roman" w:cs="Times New Roman"/>
          <w:b w:val="0"/>
          <w:color w:val="000000" w:themeColor="text1"/>
          <w:sz w:val="24"/>
          <w:szCs w:val="24"/>
        </w:rPr>
        <w:t>powers that</w:t>
      </w:r>
      <w:r w:rsidR="00496200" w:rsidRPr="00775444">
        <w:rPr>
          <w:rFonts w:ascii="Times New Roman" w:hAnsi="Times New Roman" w:cs="Times New Roman"/>
          <w:b w:val="0"/>
          <w:color w:val="000000" w:themeColor="text1"/>
          <w:sz w:val="24"/>
          <w:szCs w:val="24"/>
        </w:rPr>
        <w:t xml:space="preserve"> </w:t>
      </w:r>
      <w:r w:rsidR="001604F3">
        <w:rPr>
          <w:rFonts w:ascii="Times New Roman" w:hAnsi="Times New Roman" w:cs="Times New Roman"/>
          <w:b w:val="0"/>
          <w:color w:val="000000" w:themeColor="text1"/>
          <w:sz w:val="24"/>
          <w:szCs w:val="24"/>
        </w:rPr>
        <w:t xml:space="preserve">are designed to </w:t>
      </w:r>
      <w:r w:rsidR="00496200" w:rsidRPr="00775444">
        <w:rPr>
          <w:rFonts w:ascii="Times New Roman" w:hAnsi="Times New Roman" w:cs="Times New Roman"/>
          <w:b w:val="0"/>
          <w:color w:val="000000" w:themeColor="text1"/>
          <w:sz w:val="24"/>
          <w:szCs w:val="24"/>
        </w:rPr>
        <w:t xml:space="preserve">act as a brake against corrupt behaviour. </w:t>
      </w:r>
      <w:r w:rsidR="004D12FC">
        <w:rPr>
          <w:rFonts w:ascii="Times New Roman" w:hAnsi="Times New Roman" w:cs="Times New Roman"/>
          <w:b w:val="0"/>
          <w:color w:val="000000" w:themeColor="text1"/>
          <w:sz w:val="24"/>
          <w:szCs w:val="24"/>
        </w:rPr>
        <w:t xml:space="preserve"> </w:t>
      </w:r>
      <w:r w:rsidR="00496200" w:rsidRPr="00775444">
        <w:rPr>
          <w:rFonts w:ascii="Times New Roman" w:hAnsi="Times New Roman" w:cs="Times New Roman"/>
          <w:b w:val="0"/>
          <w:color w:val="000000" w:themeColor="text1"/>
          <w:sz w:val="24"/>
          <w:szCs w:val="24"/>
        </w:rPr>
        <w:t xml:space="preserve">However, a close examination of the </w:t>
      </w:r>
      <w:r w:rsidR="00997964" w:rsidRPr="00775444">
        <w:rPr>
          <w:rFonts w:ascii="Times New Roman" w:hAnsi="Times New Roman" w:cs="Times New Roman"/>
          <w:b w:val="0"/>
          <w:color w:val="000000" w:themeColor="text1"/>
          <w:sz w:val="24"/>
          <w:szCs w:val="24"/>
        </w:rPr>
        <w:t xml:space="preserve">approach and the </w:t>
      </w:r>
      <w:r w:rsidR="00496200" w:rsidRPr="00775444">
        <w:rPr>
          <w:rFonts w:ascii="Times New Roman" w:hAnsi="Times New Roman" w:cs="Times New Roman"/>
          <w:b w:val="0"/>
          <w:color w:val="000000" w:themeColor="text1"/>
          <w:sz w:val="24"/>
          <w:szCs w:val="24"/>
        </w:rPr>
        <w:t xml:space="preserve">results obtained from the Commission’s compliance reviews </w:t>
      </w:r>
      <w:r w:rsidR="007E6053">
        <w:rPr>
          <w:rFonts w:ascii="Times New Roman" w:hAnsi="Times New Roman" w:cs="Times New Roman"/>
          <w:b w:val="0"/>
          <w:color w:val="000000" w:themeColor="text1"/>
          <w:sz w:val="24"/>
          <w:szCs w:val="24"/>
        </w:rPr>
        <w:t>over a number of</w:t>
      </w:r>
      <w:r w:rsidR="00496200" w:rsidRPr="00775444">
        <w:rPr>
          <w:rFonts w:ascii="Times New Roman" w:hAnsi="Times New Roman" w:cs="Times New Roman"/>
          <w:b w:val="0"/>
          <w:color w:val="000000" w:themeColor="text1"/>
          <w:sz w:val="24"/>
          <w:szCs w:val="24"/>
        </w:rPr>
        <w:t xml:space="preserve"> years belies this confidence.</w:t>
      </w:r>
      <w:bookmarkEnd w:id="49"/>
    </w:p>
    <w:p w:rsidR="00496200" w:rsidRPr="00775444" w:rsidRDefault="00496200" w:rsidP="00775444">
      <w:pPr>
        <w:pStyle w:val="Heading2"/>
        <w:numPr>
          <w:ilvl w:val="1"/>
          <w:numId w:val="21"/>
        </w:numPr>
        <w:ind w:left="567" w:hanging="567"/>
        <w:rPr>
          <w:rFonts w:ascii="Times New Roman" w:hAnsi="Times New Roman" w:cs="Times New Roman"/>
          <w:b w:val="0"/>
          <w:color w:val="000000" w:themeColor="text1"/>
          <w:sz w:val="24"/>
          <w:szCs w:val="24"/>
        </w:rPr>
      </w:pPr>
      <w:bookmarkStart w:id="50" w:name="_Toc339540875"/>
      <w:r w:rsidRPr="00775444">
        <w:rPr>
          <w:rFonts w:ascii="Times New Roman" w:hAnsi="Times New Roman" w:cs="Times New Roman"/>
          <w:b w:val="0"/>
          <w:color w:val="000000" w:themeColor="text1"/>
          <w:sz w:val="24"/>
          <w:szCs w:val="24"/>
        </w:rPr>
        <w:t xml:space="preserve">Giving more emphasis to the specific targeting of non-disclosure and the collection of objective information aimed at assisting the Electoral Commissioner to be able to make judgements about the extent of non-disclosure is needed in a properly balanced program.  Even if efforts fail to reveal any or many instances of undisclosed gifts, for the Commission to be seen to be actively watchful would remove any grounds for criticism that it was not fulfilling its legislative obligations. It would also </w:t>
      </w:r>
      <w:r w:rsidR="00034CB3" w:rsidRPr="00775444">
        <w:rPr>
          <w:rFonts w:ascii="Times New Roman" w:hAnsi="Times New Roman" w:cs="Times New Roman"/>
          <w:b w:val="0"/>
          <w:color w:val="000000" w:themeColor="text1"/>
          <w:sz w:val="24"/>
          <w:szCs w:val="24"/>
        </w:rPr>
        <w:t xml:space="preserve">place the Commission in a better position </w:t>
      </w:r>
      <w:r w:rsidRPr="00775444">
        <w:rPr>
          <w:rFonts w:ascii="Times New Roman" w:hAnsi="Times New Roman" w:cs="Times New Roman"/>
          <w:b w:val="0"/>
          <w:color w:val="000000" w:themeColor="text1"/>
          <w:sz w:val="24"/>
          <w:szCs w:val="24"/>
        </w:rPr>
        <w:t>to give more soundly based assessments to the Parliament about the level of compliance being achieved.</w:t>
      </w:r>
      <w:bookmarkEnd w:id="50"/>
      <w:r w:rsidRPr="00775444">
        <w:rPr>
          <w:rFonts w:ascii="Times New Roman" w:hAnsi="Times New Roman" w:cs="Times New Roman"/>
          <w:b w:val="0"/>
          <w:color w:val="000000" w:themeColor="text1"/>
          <w:sz w:val="24"/>
          <w:szCs w:val="24"/>
        </w:rPr>
        <w:t xml:space="preserve"> </w:t>
      </w:r>
    </w:p>
    <w:p w:rsidR="00E75515" w:rsidRDefault="00382B38" w:rsidP="00E75515">
      <w:pPr>
        <w:pStyle w:val="Heading2"/>
        <w:numPr>
          <w:ilvl w:val="1"/>
          <w:numId w:val="21"/>
        </w:numPr>
        <w:ind w:left="567" w:hanging="567"/>
        <w:rPr>
          <w:rFonts w:ascii="Times New Roman" w:hAnsi="Times New Roman" w:cs="Times New Roman"/>
          <w:b w:val="0"/>
          <w:color w:val="000000" w:themeColor="text1"/>
          <w:sz w:val="24"/>
          <w:szCs w:val="24"/>
        </w:rPr>
      </w:pPr>
      <w:bookmarkStart w:id="51" w:name="_Toc339540876"/>
      <w:r w:rsidRPr="00775444">
        <w:rPr>
          <w:rFonts w:ascii="Times New Roman" w:hAnsi="Times New Roman" w:cs="Times New Roman"/>
          <w:b w:val="0"/>
          <w:color w:val="000000" w:themeColor="text1"/>
          <w:sz w:val="24"/>
          <w:szCs w:val="24"/>
        </w:rPr>
        <w:t xml:space="preserve">It is pleasing to note that the recent </w:t>
      </w:r>
      <w:r w:rsidR="00DE4D2A" w:rsidRPr="00775444">
        <w:rPr>
          <w:rFonts w:ascii="Times New Roman" w:hAnsi="Times New Roman" w:cs="Times New Roman"/>
          <w:b w:val="0"/>
          <w:color w:val="000000" w:themeColor="text1"/>
          <w:sz w:val="24"/>
          <w:szCs w:val="24"/>
        </w:rPr>
        <w:t xml:space="preserve">report from the </w:t>
      </w:r>
      <w:r w:rsidR="007C38A0" w:rsidRPr="00775444">
        <w:rPr>
          <w:rFonts w:ascii="Times New Roman" w:hAnsi="Times New Roman" w:cs="Times New Roman"/>
          <w:b w:val="0"/>
          <w:color w:val="000000" w:themeColor="text1"/>
          <w:sz w:val="24"/>
          <w:szCs w:val="24"/>
        </w:rPr>
        <w:t>JSCEM</w:t>
      </w:r>
      <w:r w:rsidR="00DE4D2A" w:rsidRPr="00775444">
        <w:rPr>
          <w:rFonts w:ascii="Times New Roman" w:hAnsi="Times New Roman" w:cs="Times New Roman"/>
          <w:b w:val="0"/>
          <w:color w:val="000000" w:themeColor="text1"/>
          <w:sz w:val="24"/>
          <w:szCs w:val="24"/>
        </w:rPr>
        <w:t xml:space="preserve"> </w:t>
      </w:r>
      <w:r w:rsidR="00DE4D2A" w:rsidRPr="00775444">
        <w:rPr>
          <w:rFonts w:ascii="Times New Roman" w:hAnsi="Times New Roman" w:cs="Times New Roman"/>
          <w:b w:val="0"/>
          <w:i/>
          <w:color w:val="000000" w:themeColor="text1"/>
          <w:sz w:val="24"/>
          <w:szCs w:val="24"/>
        </w:rPr>
        <w:t>R</w:t>
      </w:r>
      <w:r w:rsidRPr="00775444">
        <w:rPr>
          <w:rFonts w:ascii="Times New Roman" w:hAnsi="Times New Roman" w:cs="Times New Roman"/>
          <w:b w:val="0"/>
          <w:i/>
          <w:color w:val="000000" w:themeColor="text1"/>
          <w:sz w:val="24"/>
          <w:szCs w:val="24"/>
        </w:rPr>
        <w:t>eview of the A</w:t>
      </w:r>
      <w:r w:rsidR="005E3CE8" w:rsidRPr="00775444">
        <w:rPr>
          <w:rFonts w:ascii="Times New Roman" w:hAnsi="Times New Roman" w:cs="Times New Roman"/>
          <w:b w:val="0"/>
          <w:i/>
          <w:color w:val="000000" w:themeColor="text1"/>
          <w:sz w:val="24"/>
          <w:szCs w:val="24"/>
        </w:rPr>
        <w:t xml:space="preserve">ustralian </w:t>
      </w:r>
      <w:r w:rsidRPr="00775444">
        <w:rPr>
          <w:rFonts w:ascii="Times New Roman" w:hAnsi="Times New Roman" w:cs="Times New Roman"/>
          <w:b w:val="0"/>
          <w:i/>
          <w:color w:val="000000" w:themeColor="text1"/>
          <w:sz w:val="24"/>
          <w:szCs w:val="24"/>
        </w:rPr>
        <w:t>E</w:t>
      </w:r>
      <w:r w:rsidR="005E3CE8" w:rsidRPr="00775444">
        <w:rPr>
          <w:rFonts w:ascii="Times New Roman" w:hAnsi="Times New Roman" w:cs="Times New Roman"/>
          <w:b w:val="0"/>
          <w:i/>
          <w:color w:val="000000" w:themeColor="text1"/>
          <w:sz w:val="24"/>
          <w:szCs w:val="24"/>
        </w:rPr>
        <w:t xml:space="preserve">lectoral </w:t>
      </w:r>
      <w:r w:rsidRPr="00775444">
        <w:rPr>
          <w:rFonts w:ascii="Times New Roman" w:hAnsi="Times New Roman" w:cs="Times New Roman"/>
          <w:b w:val="0"/>
          <w:i/>
          <w:color w:val="000000" w:themeColor="text1"/>
          <w:sz w:val="24"/>
          <w:szCs w:val="24"/>
        </w:rPr>
        <w:t>C</w:t>
      </w:r>
      <w:r w:rsidR="005E3CE8" w:rsidRPr="00775444">
        <w:rPr>
          <w:rFonts w:ascii="Times New Roman" w:hAnsi="Times New Roman" w:cs="Times New Roman"/>
          <w:b w:val="0"/>
          <w:i/>
          <w:color w:val="000000" w:themeColor="text1"/>
          <w:sz w:val="24"/>
          <w:szCs w:val="24"/>
        </w:rPr>
        <w:t>ommission</w:t>
      </w:r>
      <w:r w:rsidRPr="00775444">
        <w:rPr>
          <w:rFonts w:ascii="Times New Roman" w:hAnsi="Times New Roman" w:cs="Times New Roman"/>
          <w:b w:val="0"/>
          <w:i/>
          <w:color w:val="000000" w:themeColor="text1"/>
          <w:sz w:val="24"/>
          <w:szCs w:val="24"/>
        </w:rPr>
        <w:t>’s analysis of the F</w:t>
      </w:r>
      <w:r w:rsidR="00DE4D2A" w:rsidRPr="00775444">
        <w:rPr>
          <w:rFonts w:ascii="Times New Roman" w:hAnsi="Times New Roman" w:cs="Times New Roman"/>
          <w:b w:val="0"/>
          <w:i/>
          <w:color w:val="000000" w:themeColor="text1"/>
          <w:sz w:val="24"/>
          <w:szCs w:val="24"/>
        </w:rPr>
        <w:t xml:space="preserve">air </w:t>
      </w:r>
      <w:r w:rsidRPr="00775444">
        <w:rPr>
          <w:rFonts w:ascii="Times New Roman" w:hAnsi="Times New Roman" w:cs="Times New Roman"/>
          <w:b w:val="0"/>
          <w:i/>
          <w:color w:val="000000" w:themeColor="text1"/>
          <w:sz w:val="24"/>
          <w:szCs w:val="24"/>
        </w:rPr>
        <w:t>W</w:t>
      </w:r>
      <w:r w:rsidR="00DE4D2A" w:rsidRPr="00775444">
        <w:rPr>
          <w:rFonts w:ascii="Times New Roman" w:hAnsi="Times New Roman" w:cs="Times New Roman"/>
          <w:b w:val="0"/>
          <w:i/>
          <w:color w:val="000000" w:themeColor="text1"/>
          <w:sz w:val="24"/>
          <w:szCs w:val="24"/>
        </w:rPr>
        <w:t xml:space="preserve">ork </w:t>
      </w:r>
      <w:r w:rsidRPr="00775444">
        <w:rPr>
          <w:rFonts w:ascii="Times New Roman" w:hAnsi="Times New Roman" w:cs="Times New Roman"/>
          <w:b w:val="0"/>
          <w:i/>
          <w:color w:val="000000" w:themeColor="text1"/>
          <w:sz w:val="24"/>
          <w:szCs w:val="24"/>
        </w:rPr>
        <w:t>A</w:t>
      </w:r>
      <w:r w:rsidR="00DE4D2A" w:rsidRPr="00775444">
        <w:rPr>
          <w:rFonts w:ascii="Times New Roman" w:hAnsi="Times New Roman" w:cs="Times New Roman"/>
          <w:b w:val="0"/>
          <w:i/>
          <w:color w:val="000000" w:themeColor="text1"/>
          <w:sz w:val="24"/>
          <w:szCs w:val="24"/>
        </w:rPr>
        <w:t>ustralia</w:t>
      </w:r>
      <w:r w:rsidRPr="00775444">
        <w:rPr>
          <w:rFonts w:ascii="Times New Roman" w:hAnsi="Times New Roman" w:cs="Times New Roman"/>
          <w:b w:val="0"/>
          <w:i/>
          <w:color w:val="000000" w:themeColor="text1"/>
          <w:sz w:val="24"/>
          <w:szCs w:val="24"/>
        </w:rPr>
        <w:t xml:space="preserve"> report on the H</w:t>
      </w:r>
      <w:r w:rsidR="00DE4D2A" w:rsidRPr="00775444">
        <w:rPr>
          <w:rFonts w:ascii="Times New Roman" w:hAnsi="Times New Roman" w:cs="Times New Roman"/>
          <w:b w:val="0"/>
          <w:i/>
          <w:color w:val="000000" w:themeColor="text1"/>
          <w:sz w:val="24"/>
          <w:szCs w:val="24"/>
        </w:rPr>
        <w:t xml:space="preserve">ealth </w:t>
      </w:r>
      <w:r w:rsidRPr="00775444">
        <w:rPr>
          <w:rFonts w:ascii="Times New Roman" w:hAnsi="Times New Roman" w:cs="Times New Roman"/>
          <w:b w:val="0"/>
          <w:i/>
          <w:color w:val="000000" w:themeColor="text1"/>
          <w:sz w:val="24"/>
          <w:szCs w:val="24"/>
        </w:rPr>
        <w:t>S</w:t>
      </w:r>
      <w:r w:rsidR="00DE4D2A" w:rsidRPr="00775444">
        <w:rPr>
          <w:rFonts w:ascii="Times New Roman" w:hAnsi="Times New Roman" w:cs="Times New Roman"/>
          <w:b w:val="0"/>
          <w:i/>
          <w:color w:val="000000" w:themeColor="text1"/>
          <w:sz w:val="24"/>
          <w:szCs w:val="24"/>
        </w:rPr>
        <w:t xml:space="preserve">ervices </w:t>
      </w:r>
      <w:r w:rsidRPr="00775444">
        <w:rPr>
          <w:rFonts w:ascii="Times New Roman" w:hAnsi="Times New Roman" w:cs="Times New Roman"/>
          <w:b w:val="0"/>
          <w:i/>
          <w:color w:val="000000" w:themeColor="text1"/>
          <w:sz w:val="24"/>
          <w:szCs w:val="24"/>
        </w:rPr>
        <w:t>U</w:t>
      </w:r>
      <w:r w:rsidR="00DE4D2A" w:rsidRPr="00775444">
        <w:rPr>
          <w:rFonts w:ascii="Times New Roman" w:hAnsi="Times New Roman" w:cs="Times New Roman"/>
          <w:b w:val="0"/>
          <w:i/>
          <w:color w:val="000000" w:themeColor="text1"/>
          <w:sz w:val="24"/>
          <w:szCs w:val="24"/>
        </w:rPr>
        <w:t>nion</w:t>
      </w:r>
      <w:r w:rsidRPr="00775444">
        <w:rPr>
          <w:rFonts w:ascii="Times New Roman" w:hAnsi="Times New Roman" w:cs="Times New Roman"/>
          <w:b w:val="0"/>
          <w:color w:val="000000" w:themeColor="text1"/>
          <w:sz w:val="24"/>
          <w:szCs w:val="24"/>
        </w:rPr>
        <w:t xml:space="preserve"> </w:t>
      </w:r>
      <w:r w:rsidR="008A6A0B" w:rsidRPr="00775444">
        <w:rPr>
          <w:rFonts w:ascii="Times New Roman" w:hAnsi="Times New Roman" w:cs="Times New Roman"/>
          <w:b w:val="0"/>
          <w:color w:val="000000" w:themeColor="text1"/>
          <w:sz w:val="24"/>
          <w:szCs w:val="24"/>
        </w:rPr>
        <w:t>tabled</w:t>
      </w:r>
      <w:r w:rsidRPr="00775444">
        <w:rPr>
          <w:rFonts w:ascii="Times New Roman" w:hAnsi="Times New Roman" w:cs="Times New Roman"/>
          <w:b w:val="0"/>
          <w:color w:val="000000" w:themeColor="text1"/>
          <w:sz w:val="24"/>
          <w:szCs w:val="24"/>
        </w:rPr>
        <w:t xml:space="preserve"> during the course of this review has reached a </w:t>
      </w:r>
      <w:r w:rsidR="00034CB3" w:rsidRPr="00775444">
        <w:rPr>
          <w:rFonts w:ascii="Times New Roman" w:hAnsi="Times New Roman" w:cs="Times New Roman"/>
          <w:b w:val="0"/>
          <w:color w:val="000000" w:themeColor="text1"/>
          <w:sz w:val="24"/>
          <w:szCs w:val="24"/>
        </w:rPr>
        <w:t>view similar to the direction of the conclusions reached by this review</w:t>
      </w:r>
      <w:r w:rsidRPr="00775444">
        <w:rPr>
          <w:rFonts w:ascii="Times New Roman" w:hAnsi="Times New Roman" w:cs="Times New Roman"/>
          <w:b w:val="0"/>
          <w:color w:val="000000" w:themeColor="text1"/>
          <w:sz w:val="24"/>
          <w:szCs w:val="24"/>
        </w:rPr>
        <w:t xml:space="preserve">.  In rejecting a proposal that compulsory auditing of returns </w:t>
      </w:r>
      <w:r w:rsidR="00A53611" w:rsidRPr="00775444">
        <w:rPr>
          <w:rFonts w:ascii="Times New Roman" w:hAnsi="Times New Roman" w:cs="Times New Roman"/>
          <w:b w:val="0"/>
          <w:color w:val="000000" w:themeColor="text1"/>
          <w:sz w:val="24"/>
          <w:szCs w:val="24"/>
        </w:rPr>
        <w:t xml:space="preserve">prior to submission to the Commission </w:t>
      </w:r>
      <w:r w:rsidRPr="00775444">
        <w:rPr>
          <w:rFonts w:ascii="Times New Roman" w:hAnsi="Times New Roman" w:cs="Times New Roman"/>
          <w:b w:val="0"/>
          <w:color w:val="000000" w:themeColor="text1"/>
          <w:sz w:val="24"/>
          <w:szCs w:val="24"/>
        </w:rPr>
        <w:t>be introduced, the Committee noted:</w:t>
      </w:r>
      <w:bookmarkEnd w:id="51"/>
    </w:p>
    <w:p w:rsidR="00E34466" w:rsidRPr="00E34466" w:rsidRDefault="00E34466" w:rsidP="00886F73">
      <w:pPr>
        <w:spacing w:after="0"/>
      </w:pPr>
    </w:p>
    <w:p w:rsidR="000A4BFF" w:rsidRPr="00997964" w:rsidRDefault="00382B38" w:rsidP="00E75515">
      <w:pPr>
        <w:ind w:left="1440"/>
        <w:rPr>
          <w:rFonts w:ascii="Times New Roman" w:hAnsi="Times New Roman" w:cs="Times New Roman"/>
          <w:i/>
          <w:sz w:val="24"/>
          <w:szCs w:val="24"/>
        </w:rPr>
      </w:pPr>
      <w:r w:rsidRPr="00710110">
        <w:rPr>
          <w:rFonts w:ascii="Times New Roman" w:hAnsi="Times New Roman" w:cs="Times New Roman"/>
          <w:i/>
          <w:sz w:val="24"/>
          <w:szCs w:val="24"/>
        </w:rPr>
        <w:t xml:space="preserve">The </w:t>
      </w:r>
      <w:r w:rsidR="005E3CE8">
        <w:rPr>
          <w:rFonts w:ascii="Times New Roman" w:hAnsi="Times New Roman" w:cs="Times New Roman"/>
          <w:sz w:val="24"/>
          <w:szCs w:val="24"/>
        </w:rPr>
        <w:t>[Australian Electoral Commission]</w:t>
      </w:r>
      <w:r w:rsidRPr="00710110">
        <w:rPr>
          <w:rFonts w:ascii="Times New Roman" w:hAnsi="Times New Roman" w:cs="Times New Roman"/>
          <w:i/>
          <w:sz w:val="24"/>
          <w:szCs w:val="24"/>
        </w:rPr>
        <w:t xml:space="preserve"> is the body best placed to conduct compliance reviews under the Electoral Act.  However, the committee appreciates that there are resourcing pressures on the unit that prevent a review of all returns and those with suspected obligations.  In developing its compliance review programs and prioritising reviews, the </w:t>
      </w:r>
      <w:r w:rsidR="005E3CE8">
        <w:rPr>
          <w:rFonts w:ascii="Times New Roman" w:hAnsi="Times New Roman" w:cs="Times New Roman"/>
          <w:sz w:val="24"/>
          <w:szCs w:val="24"/>
        </w:rPr>
        <w:t>[Australian Electoral Commission]</w:t>
      </w:r>
      <w:r w:rsidRPr="00710110">
        <w:rPr>
          <w:rFonts w:ascii="Times New Roman" w:hAnsi="Times New Roman" w:cs="Times New Roman"/>
          <w:i/>
          <w:sz w:val="24"/>
          <w:szCs w:val="24"/>
        </w:rPr>
        <w:t xml:space="preserve"> should take into </w:t>
      </w:r>
      <w:r>
        <w:rPr>
          <w:rFonts w:ascii="Times New Roman" w:hAnsi="Times New Roman" w:cs="Times New Roman"/>
          <w:i/>
          <w:sz w:val="24"/>
          <w:szCs w:val="24"/>
        </w:rPr>
        <w:t>c</w:t>
      </w:r>
      <w:r w:rsidRPr="00710110">
        <w:rPr>
          <w:rFonts w:ascii="Times New Roman" w:hAnsi="Times New Roman" w:cs="Times New Roman"/>
          <w:i/>
          <w:sz w:val="24"/>
          <w:szCs w:val="24"/>
        </w:rPr>
        <w:t>onsideration: ensuring reviews are undertaken on a cross –section of organisations; returns that involve the movement of significant sums; and cases where ret</w:t>
      </w:r>
      <w:r w:rsidR="009711E5">
        <w:rPr>
          <w:rFonts w:ascii="Times New Roman" w:hAnsi="Times New Roman" w:cs="Times New Roman"/>
          <w:i/>
          <w:sz w:val="24"/>
          <w:szCs w:val="24"/>
        </w:rPr>
        <w:t xml:space="preserve">urns – or the lack of returns – </w:t>
      </w:r>
      <w:r w:rsidRPr="00710110">
        <w:rPr>
          <w:rFonts w:ascii="Times New Roman" w:hAnsi="Times New Roman" w:cs="Times New Roman"/>
          <w:i/>
          <w:sz w:val="24"/>
          <w:szCs w:val="24"/>
        </w:rPr>
        <w:t>seem</w:t>
      </w:r>
      <w:r>
        <w:rPr>
          <w:rFonts w:ascii="Times New Roman" w:hAnsi="Times New Roman" w:cs="Times New Roman"/>
          <w:i/>
          <w:sz w:val="24"/>
          <w:szCs w:val="24"/>
        </w:rPr>
        <w:t xml:space="preserve"> to warrant closer examination.</w:t>
      </w:r>
      <w:r w:rsidR="00925FE7" w:rsidRPr="00925FE7">
        <w:rPr>
          <w:rStyle w:val="FootnoteReference"/>
          <w:rFonts w:ascii="Times New Roman" w:hAnsi="Times New Roman" w:cs="Times New Roman"/>
          <w:sz w:val="24"/>
          <w:szCs w:val="24"/>
        </w:rPr>
        <w:footnoteReference w:id="28"/>
      </w:r>
      <w:r w:rsidRPr="00710110">
        <w:rPr>
          <w:rFonts w:ascii="Times New Roman" w:hAnsi="Times New Roman" w:cs="Times New Roman"/>
          <w:i/>
          <w:sz w:val="24"/>
          <w:szCs w:val="24"/>
        </w:rPr>
        <w:t xml:space="preserve">    </w:t>
      </w:r>
    </w:p>
    <w:p w:rsidR="0039164C" w:rsidRPr="0039164C" w:rsidRDefault="0039164C" w:rsidP="0039164C">
      <w:pPr>
        <w:pStyle w:val="Heading2"/>
        <w:rPr>
          <w:rFonts w:ascii="Times New Roman" w:hAnsi="Times New Roman" w:cs="Times New Roman"/>
          <w:color w:val="000000" w:themeColor="text1"/>
        </w:rPr>
      </w:pPr>
      <w:bookmarkStart w:id="52" w:name="_Toc339540878"/>
      <w:r w:rsidRPr="0039164C">
        <w:rPr>
          <w:rFonts w:ascii="Times New Roman" w:hAnsi="Times New Roman" w:cs="Times New Roman"/>
          <w:color w:val="000000" w:themeColor="text1"/>
        </w:rPr>
        <w:lastRenderedPageBreak/>
        <w:t>Interpretation of the legislation</w:t>
      </w:r>
    </w:p>
    <w:p w:rsidR="00F463A8" w:rsidRPr="0039164C" w:rsidRDefault="00D62EFC" w:rsidP="0039164C">
      <w:pPr>
        <w:pStyle w:val="Heading2"/>
        <w:numPr>
          <w:ilvl w:val="1"/>
          <w:numId w:val="21"/>
        </w:numPr>
        <w:ind w:left="567" w:hanging="567"/>
        <w:rPr>
          <w:rFonts w:ascii="Times New Roman" w:hAnsi="Times New Roman" w:cs="Times New Roman"/>
          <w:b w:val="0"/>
          <w:color w:val="000000" w:themeColor="text1"/>
          <w:sz w:val="24"/>
          <w:szCs w:val="24"/>
        </w:rPr>
      </w:pPr>
      <w:r w:rsidRPr="0039164C">
        <w:rPr>
          <w:rFonts w:ascii="Times New Roman" w:hAnsi="Times New Roman" w:cs="Times New Roman"/>
          <w:b w:val="0"/>
          <w:color w:val="000000" w:themeColor="text1"/>
          <w:sz w:val="24"/>
          <w:szCs w:val="24"/>
        </w:rPr>
        <w:t xml:space="preserve">In the course of the public hearings </w:t>
      </w:r>
      <w:r w:rsidR="000C1393" w:rsidRPr="0039164C">
        <w:rPr>
          <w:rFonts w:ascii="Times New Roman" w:hAnsi="Times New Roman" w:cs="Times New Roman"/>
          <w:b w:val="0"/>
          <w:color w:val="000000" w:themeColor="text1"/>
          <w:sz w:val="24"/>
          <w:szCs w:val="24"/>
        </w:rPr>
        <w:t>in July 2012 for the JSCEM inquiry into the Commission’s analysis of the report on the Fair Work Australia investigation of the Health Services Union</w:t>
      </w:r>
      <w:r w:rsidRPr="0039164C">
        <w:rPr>
          <w:rFonts w:ascii="Times New Roman" w:hAnsi="Times New Roman" w:cs="Times New Roman"/>
          <w:b w:val="0"/>
          <w:color w:val="000000" w:themeColor="text1"/>
          <w:sz w:val="24"/>
          <w:szCs w:val="24"/>
        </w:rPr>
        <w:t>, the Hon. Mr</w:t>
      </w:r>
      <w:r w:rsidR="00A71588" w:rsidRPr="0039164C">
        <w:rPr>
          <w:rFonts w:ascii="Times New Roman" w:hAnsi="Times New Roman" w:cs="Times New Roman"/>
          <w:b w:val="0"/>
          <w:color w:val="000000" w:themeColor="text1"/>
          <w:sz w:val="24"/>
          <w:szCs w:val="24"/>
        </w:rPr>
        <w:t>s</w:t>
      </w:r>
      <w:r w:rsidRPr="0039164C">
        <w:rPr>
          <w:rFonts w:ascii="Times New Roman" w:hAnsi="Times New Roman" w:cs="Times New Roman"/>
          <w:b w:val="0"/>
          <w:color w:val="000000" w:themeColor="text1"/>
          <w:sz w:val="24"/>
          <w:szCs w:val="24"/>
        </w:rPr>
        <w:t xml:space="preserve"> Bishop MP raised questions about the extent of the</w:t>
      </w:r>
      <w:r w:rsidR="000C1393" w:rsidRPr="0039164C">
        <w:rPr>
          <w:rFonts w:ascii="Times New Roman" w:hAnsi="Times New Roman" w:cs="Times New Roman"/>
          <w:b w:val="0"/>
          <w:color w:val="000000" w:themeColor="text1"/>
          <w:sz w:val="24"/>
          <w:szCs w:val="24"/>
        </w:rPr>
        <w:t xml:space="preserve"> Commission’s powers</w:t>
      </w:r>
      <w:r w:rsidRPr="0039164C">
        <w:rPr>
          <w:rFonts w:ascii="Times New Roman" w:hAnsi="Times New Roman" w:cs="Times New Roman"/>
          <w:b w:val="0"/>
          <w:color w:val="000000" w:themeColor="text1"/>
          <w:sz w:val="24"/>
          <w:szCs w:val="24"/>
        </w:rPr>
        <w:t xml:space="preserve">.  </w:t>
      </w:r>
      <w:r w:rsidR="000C1393" w:rsidRPr="0039164C">
        <w:rPr>
          <w:rFonts w:ascii="Times New Roman" w:hAnsi="Times New Roman" w:cs="Times New Roman"/>
          <w:b w:val="0"/>
          <w:color w:val="000000" w:themeColor="text1"/>
          <w:sz w:val="24"/>
          <w:szCs w:val="24"/>
        </w:rPr>
        <w:t>During a number of</w:t>
      </w:r>
      <w:r w:rsidRPr="0039164C">
        <w:rPr>
          <w:rFonts w:ascii="Times New Roman" w:hAnsi="Times New Roman" w:cs="Times New Roman"/>
          <w:b w:val="0"/>
          <w:color w:val="000000" w:themeColor="text1"/>
          <w:sz w:val="24"/>
          <w:szCs w:val="24"/>
        </w:rPr>
        <w:t xml:space="preserve"> exchanges with the Commission’s representatives present she asserted that the Commission was not using the full extent of the powers it had in respect to compliance.</w:t>
      </w:r>
      <w:bookmarkEnd w:id="52"/>
      <w:r w:rsidRPr="0039164C">
        <w:rPr>
          <w:rFonts w:ascii="Times New Roman" w:hAnsi="Times New Roman" w:cs="Times New Roman"/>
          <w:b w:val="0"/>
          <w:color w:val="000000" w:themeColor="text1"/>
          <w:sz w:val="24"/>
          <w:szCs w:val="24"/>
        </w:rPr>
        <w:t xml:space="preserve">  </w:t>
      </w:r>
    </w:p>
    <w:p w:rsidR="00F463A8" w:rsidRPr="003F033D" w:rsidRDefault="000A4BFF" w:rsidP="00F463A8">
      <w:pPr>
        <w:pStyle w:val="Heading2"/>
        <w:numPr>
          <w:ilvl w:val="1"/>
          <w:numId w:val="21"/>
        </w:numPr>
        <w:ind w:left="567" w:hanging="567"/>
        <w:rPr>
          <w:rFonts w:ascii="Times New Roman" w:hAnsi="Times New Roman" w:cs="Times New Roman"/>
          <w:b w:val="0"/>
          <w:color w:val="000000" w:themeColor="text1"/>
          <w:sz w:val="24"/>
          <w:szCs w:val="24"/>
        </w:rPr>
      </w:pPr>
      <w:bookmarkStart w:id="53" w:name="_Toc339540879"/>
      <w:r w:rsidRPr="00775444">
        <w:rPr>
          <w:rFonts w:ascii="Times New Roman" w:hAnsi="Times New Roman" w:cs="Times New Roman"/>
          <w:b w:val="0"/>
          <w:color w:val="000000" w:themeColor="text1"/>
          <w:sz w:val="24"/>
          <w:szCs w:val="24"/>
        </w:rPr>
        <w:t xml:space="preserve">There have been some differences of view </w:t>
      </w:r>
      <w:r w:rsidR="00F21D9A">
        <w:rPr>
          <w:rFonts w:ascii="Times New Roman" w:hAnsi="Times New Roman" w:cs="Times New Roman"/>
          <w:b w:val="0"/>
          <w:color w:val="000000" w:themeColor="text1"/>
          <w:sz w:val="24"/>
          <w:szCs w:val="24"/>
        </w:rPr>
        <w:t xml:space="preserve">within the Commission </w:t>
      </w:r>
      <w:r w:rsidRPr="00775444">
        <w:rPr>
          <w:rFonts w:ascii="Times New Roman" w:hAnsi="Times New Roman" w:cs="Times New Roman"/>
          <w:b w:val="0"/>
          <w:color w:val="000000" w:themeColor="text1"/>
          <w:sz w:val="24"/>
          <w:szCs w:val="24"/>
        </w:rPr>
        <w:t>about how broadly the compliance review powers of the Commission can be interpreted.  Some have believed that the Commission was not approaching its obligations to police the financial disclosure provisions of the Electoral Act in a sufficiently robust fashion while others have considered that a more subtle approach was best.</w:t>
      </w:r>
      <w:bookmarkEnd w:id="53"/>
    </w:p>
    <w:p w:rsidR="00D340D6" w:rsidRPr="00775444" w:rsidRDefault="00F3360D" w:rsidP="00775444">
      <w:pPr>
        <w:pStyle w:val="Heading2"/>
        <w:numPr>
          <w:ilvl w:val="1"/>
          <w:numId w:val="21"/>
        </w:numPr>
        <w:ind w:left="567" w:hanging="567"/>
        <w:rPr>
          <w:rFonts w:ascii="Times New Roman" w:hAnsi="Times New Roman" w:cs="Times New Roman"/>
          <w:b w:val="0"/>
          <w:color w:val="000000" w:themeColor="text1"/>
          <w:sz w:val="24"/>
          <w:szCs w:val="24"/>
        </w:rPr>
      </w:pPr>
      <w:bookmarkStart w:id="54" w:name="_Toc339540880"/>
      <w:r w:rsidRPr="00775444">
        <w:rPr>
          <w:rFonts w:ascii="Times New Roman" w:hAnsi="Times New Roman" w:cs="Times New Roman"/>
          <w:b w:val="0"/>
          <w:color w:val="000000" w:themeColor="text1"/>
          <w:sz w:val="24"/>
          <w:szCs w:val="24"/>
        </w:rPr>
        <w:t>A</w:t>
      </w:r>
      <w:r w:rsidR="00D340D6" w:rsidRPr="00775444">
        <w:rPr>
          <w:rFonts w:ascii="Times New Roman" w:hAnsi="Times New Roman" w:cs="Times New Roman"/>
          <w:b w:val="0"/>
          <w:color w:val="000000" w:themeColor="text1"/>
          <w:sz w:val="24"/>
          <w:szCs w:val="24"/>
        </w:rPr>
        <w:t>gainst the historical background</w:t>
      </w:r>
      <w:r w:rsidRPr="00775444">
        <w:rPr>
          <w:rFonts w:ascii="Times New Roman" w:hAnsi="Times New Roman" w:cs="Times New Roman"/>
          <w:b w:val="0"/>
          <w:color w:val="000000" w:themeColor="text1"/>
          <w:sz w:val="24"/>
          <w:szCs w:val="24"/>
        </w:rPr>
        <w:t xml:space="preserve"> to section 316(2A) outlined earlier, t</w:t>
      </w:r>
      <w:r w:rsidR="00D340D6" w:rsidRPr="00775444">
        <w:rPr>
          <w:rFonts w:ascii="Times New Roman" w:hAnsi="Times New Roman" w:cs="Times New Roman"/>
          <w:b w:val="0"/>
          <w:color w:val="000000" w:themeColor="text1"/>
          <w:sz w:val="24"/>
          <w:szCs w:val="24"/>
        </w:rPr>
        <w:t xml:space="preserve">his review is satisfied that </w:t>
      </w:r>
      <w:r w:rsidRPr="00775444">
        <w:rPr>
          <w:rFonts w:ascii="Times New Roman" w:hAnsi="Times New Roman" w:cs="Times New Roman"/>
          <w:b w:val="0"/>
          <w:color w:val="000000" w:themeColor="text1"/>
          <w:sz w:val="24"/>
          <w:szCs w:val="24"/>
        </w:rPr>
        <w:t xml:space="preserve">the provision </w:t>
      </w:r>
      <w:r w:rsidR="00D340D6" w:rsidRPr="00775444">
        <w:rPr>
          <w:rFonts w:ascii="Times New Roman" w:hAnsi="Times New Roman" w:cs="Times New Roman"/>
          <w:b w:val="0"/>
          <w:color w:val="000000" w:themeColor="text1"/>
          <w:sz w:val="24"/>
          <w:szCs w:val="24"/>
        </w:rPr>
        <w:t xml:space="preserve">provides </w:t>
      </w:r>
      <w:r w:rsidRPr="00775444">
        <w:rPr>
          <w:rFonts w:ascii="Times New Roman" w:hAnsi="Times New Roman" w:cs="Times New Roman"/>
          <w:b w:val="0"/>
          <w:color w:val="000000" w:themeColor="text1"/>
          <w:sz w:val="24"/>
          <w:szCs w:val="24"/>
        </w:rPr>
        <w:t xml:space="preserve">adequate </w:t>
      </w:r>
      <w:r w:rsidR="00D340D6" w:rsidRPr="00775444">
        <w:rPr>
          <w:rFonts w:ascii="Times New Roman" w:hAnsi="Times New Roman" w:cs="Times New Roman"/>
          <w:b w:val="0"/>
          <w:color w:val="000000" w:themeColor="text1"/>
          <w:sz w:val="24"/>
          <w:szCs w:val="24"/>
        </w:rPr>
        <w:t xml:space="preserve">grounds for the use of the enforcement powers contained therein to expand the scope of the </w:t>
      </w:r>
      <w:r w:rsidR="00495542" w:rsidRPr="00775444">
        <w:rPr>
          <w:rFonts w:ascii="Times New Roman" w:hAnsi="Times New Roman" w:cs="Times New Roman"/>
          <w:b w:val="0"/>
          <w:color w:val="000000" w:themeColor="text1"/>
          <w:sz w:val="24"/>
          <w:szCs w:val="24"/>
        </w:rPr>
        <w:t>Commission</w:t>
      </w:r>
      <w:r w:rsidR="00D340D6" w:rsidRPr="00775444">
        <w:rPr>
          <w:rFonts w:ascii="Times New Roman" w:hAnsi="Times New Roman" w:cs="Times New Roman"/>
          <w:b w:val="0"/>
          <w:color w:val="000000" w:themeColor="text1"/>
          <w:sz w:val="24"/>
          <w:szCs w:val="24"/>
        </w:rPr>
        <w:t>’s compliance activities in the manner outlined in this report.</w:t>
      </w:r>
      <w:r w:rsidR="00760BE3" w:rsidRPr="00775444">
        <w:rPr>
          <w:rFonts w:ascii="Times New Roman" w:hAnsi="Times New Roman" w:cs="Times New Roman"/>
          <w:b w:val="0"/>
          <w:color w:val="000000" w:themeColor="text1"/>
          <w:sz w:val="24"/>
          <w:szCs w:val="24"/>
        </w:rPr>
        <w:t xml:space="preserve"> Part 2</w:t>
      </w:r>
      <w:r w:rsidRPr="00775444">
        <w:rPr>
          <w:rFonts w:ascii="Times New Roman" w:hAnsi="Times New Roman" w:cs="Times New Roman"/>
          <w:b w:val="0"/>
          <w:color w:val="000000" w:themeColor="text1"/>
          <w:sz w:val="24"/>
          <w:szCs w:val="24"/>
        </w:rPr>
        <w:t xml:space="preserve"> of this report sets out a more detailed analysis of this issue</w:t>
      </w:r>
      <w:r w:rsidR="00F463A8">
        <w:rPr>
          <w:rFonts w:ascii="Times New Roman" w:hAnsi="Times New Roman" w:cs="Times New Roman"/>
          <w:b w:val="0"/>
          <w:color w:val="000000" w:themeColor="text1"/>
          <w:sz w:val="24"/>
          <w:szCs w:val="24"/>
        </w:rPr>
        <w:t xml:space="preserve"> from a legal perspective</w:t>
      </w:r>
      <w:r w:rsidRPr="00775444">
        <w:rPr>
          <w:rFonts w:ascii="Times New Roman" w:hAnsi="Times New Roman" w:cs="Times New Roman"/>
          <w:b w:val="0"/>
          <w:color w:val="000000" w:themeColor="text1"/>
          <w:sz w:val="24"/>
          <w:szCs w:val="24"/>
        </w:rPr>
        <w:t>.</w:t>
      </w:r>
      <w:bookmarkEnd w:id="54"/>
      <w:r w:rsidRPr="00775444">
        <w:rPr>
          <w:rFonts w:ascii="Times New Roman" w:hAnsi="Times New Roman" w:cs="Times New Roman"/>
          <w:b w:val="0"/>
          <w:color w:val="000000" w:themeColor="text1"/>
          <w:sz w:val="24"/>
          <w:szCs w:val="24"/>
        </w:rPr>
        <w:t xml:space="preserve">  </w:t>
      </w:r>
    </w:p>
    <w:p w:rsidR="00D340D6" w:rsidRPr="00A376D9" w:rsidRDefault="00D340D6" w:rsidP="00FF61A6">
      <w:pPr>
        <w:pStyle w:val="Heading3"/>
        <w:rPr>
          <w:rFonts w:ascii="Times New Roman" w:hAnsi="Times New Roman" w:cs="Times New Roman"/>
          <w:color w:val="auto"/>
          <w:sz w:val="24"/>
          <w:szCs w:val="24"/>
        </w:rPr>
      </w:pPr>
      <w:bookmarkStart w:id="55" w:name="_Toc339540881"/>
      <w:r w:rsidRPr="00A376D9">
        <w:rPr>
          <w:rFonts w:ascii="Times New Roman" w:hAnsi="Times New Roman" w:cs="Times New Roman"/>
          <w:color w:val="auto"/>
          <w:sz w:val="24"/>
          <w:szCs w:val="24"/>
        </w:rPr>
        <w:t>Recommendation 1:</w:t>
      </w:r>
      <w:bookmarkEnd w:id="55"/>
    </w:p>
    <w:p w:rsidR="00D340D6" w:rsidRDefault="00D340D6" w:rsidP="00D340D6">
      <w:pPr>
        <w:rPr>
          <w:rFonts w:ascii="Times New Roman" w:hAnsi="Times New Roman" w:cs="Times New Roman"/>
          <w:b/>
          <w:sz w:val="24"/>
          <w:szCs w:val="24"/>
        </w:rPr>
      </w:pPr>
      <w:r>
        <w:rPr>
          <w:rFonts w:ascii="Times New Roman" w:hAnsi="Times New Roman" w:cs="Times New Roman"/>
          <w:b/>
          <w:sz w:val="24"/>
          <w:szCs w:val="24"/>
        </w:rPr>
        <w:t xml:space="preserve">The enforcement powers of the </w:t>
      </w:r>
      <w:r w:rsidR="00495542">
        <w:rPr>
          <w:rFonts w:ascii="Times New Roman" w:hAnsi="Times New Roman" w:cs="Times New Roman"/>
          <w:b/>
          <w:sz w:val="24"/>
          <w:szCs w:val="24"/>
        </w:rPr>
        <w:t>Commission</w:t>
      </w:r>
      <w:r>
        <w:rPr>
          <w:rFonts w:ascii="Times New Roman" w:hAnsi="Times New Roman" w:cs="Times New Roman"/>
          <w:b/>
          <w:sz w:val="24"/>
          <w:szCs w:val="24"/>
        </w:rPr>
        <w:t xml:space="preserve"> under section 316(2A) of the Electoral Act should be relied upon to support an expanded program of compliance reviews aimed at extending their scope and depth. </w:t>
      </w:r>
    </w:p>
    <w:p w:rsidR="0039164C" w:rsidRPr="0039164C" w:rsidRDefault="0039164C" w:rsidP="0039164C">
      <w:pPr>
        <w:pStyle w:val="Heading2"/>
        <w:rPr>
          <w:rFonts w:ascii="Times New Roman" w:hAnsi="Times New Roman" w:cs="Times New Roman"/>
          <w:color w:val="auto"/>
        </w:rPr>
      </w:pPr>
      <w:r w:rsidRPr="0039164C">
        <w:rPr>
          <w:rFonts w:ascii="Times New Roman" w:hAnsi="Times New Roman" w:cs="Times New Roman"/>
          <w:color w:val="auto"/>
        </w:rPr>
        <w:lastRenderedPageBreak/>
        <w:t>The need for a new business model</w:t>
      </w:r>
    </w:p>
    <w:p w:rsidR="00382B38" w:rsidRPr="0039164C" w:rsidRDefault="00382B38" w:rsidP="0039164C">
      <w:pPr>
        <w:pStyle w:val="Heading2"/>
        <w:numPr>
          <w:ilvl w:val="1"/>
          <w:numId w:val="21"/>
        </w:numPr>
        <w:ind w:left="567" w:hanging="567"/>
        <w:rPr>
          <w:rFonts w:ascii="Times New Roman" w:hAnsi="Times New Roman" w:cs="Times New Roman"/>
          <w:b w:val="0"/>
          <w:color w:val="auto"/>
        </w:rPr>
      </w:pPr>
      <w:r w:rsidRPr="0039164C">
        <w:rPr>
          <w:rFonts w:ascii="Times New Roman" w:hAnsi="Times New Roman" w:cs="Times New Roman"/>
          <w:b w:val="0"/>
          <w:color w:val="auto"/>
          <w:sz w:val="24"/>
          <w:szCs w:val="24"/>
        </w:rPr>
        <w:t>T</w:t>
      </w:r>
      <w:r w:rsidR="00166DD3" w:rsidRPr="0039164C">
        <w:rPr>
          <w:rFonts w:ascii="Times New Roman" w:hAnsi="Times New Roman" w:cs="Times New Roman"/>
          <w:b w:val="0"/>
          <w:color w:val="auto"/>
          <w:sz w:val="24"/>
          <w:szCs w:val="24"/>
        </w:rPr>
        <w:t>o facilitate an expanded compliance review program, t</w:t>
      </w:r>
      <w:r w:rsidRPr="0039164C">
        <w:rPr>
          <w:rFonts w:ascii="Times New Roman" w:hAnsi="Times New Roman" w:cs="Times New Roman"/>
          <w:b w:val="0"/>
          <w:color w:val="auto"/>
          <w:sz w:val="24"/>
          <w:szCs w:val="24"/>
        </w:rPr>
        <w:t xml:space="preserve">he consultants and I are of the view that the compliance activities need to be completely redesigned to </w:t>
      </w:r>
      <w:r w:rsidR="00F3360D" w:rsidRPr="0039164C">
        <w:rPr>
          <w:rFonts w:ascii="Times New Roman" w:hAnsi="Times New Roman" w:cs="Times New Roman"/>
          <w:b w:val="0"/>
          <w:color w:val="auto"/>
          <w:sz w:val="24"/>
          <w:szCs w:val="24"/>
        </w:rPr>
        <w:t>establish</w:t>
      </w:r>
      <w:r w:rsidRPr="0039164C">
        <w:rPr>
          <w:rFonts w:ascii="Times New Roman" w:hAnsi="Times New Roman" w:cs="Times New Roman"/>
          <w:b w:val="0"/>
          <w:color w:val="auto"/>
          <w:sz w:val="24"/>
          <w:szCs w:val="24"/>
        </w:rPr>
        <w:t xml:space="preserve"> a more proactive role that</w:t>
      </w:r>
      <w:r w:rsidR="00F3360D" w:rsidRPr="0039164C">
        <w:rPr>
          <w:rFonts w:ascii="Times New Roman" w:hAnsi="Times New Roman" w:cs="Times New Roman"/>
          <w:b w:val="0"/>
          <w:color w:val="auto"/>
          <w:sz w:val="24"/>
          <w:szCs w:val="24"/>
        </w:rPr>
        <w:t xml:space="preserve"> would represent a more positive expression of the Commission’s compliance obligations, as well as better reflecting</w:t>
      </w:r>
      <w:r w:rsidRPr="0039164C">
        <w:rPr>
          <w:rFonts w:ascii="Times New Roman" w:hAnsi="Times New Roman" w:cs="Times New Roman"/>
          <w:b w:val="0"/>
          <w:color w:val="auto"/>
          <w:sz w:val="24"/>
          <w:szCs w:val="24"/>
        </w:rPr>
        <w:t xml:space="preserve"> arrangements the community might reasonably expect to be in place.  To do so in our view will involve a range of new strategies and approaches which will entail building a new business model for the function. </w:t>
      </w:r>
    </w:p>
    <w:p w:rsidR="00B9347B" w:rsidRPr="0039164C" w:rsidRDefault="004234CA" w:rsidP="00B9347B">
      <w:pPr>
        <w:pStyle w:val="Heading2"/>
        <w:numPr>
          <w:ilvl w:val="1"/>
          <w:numId w:val="21"/>
        </w:numPr>
        <w:ind w:left="567" w:hanging="567"/>
        <w:rPr>
          <w:rFonts w:ascii="Times New Roman" w:hAnsi="Times New Roman" w:cs="Times New Roman"/>
          <w:b w:val="0"/>
          <w:color w:val="000000" w:themeColor="text1"/>
          <w:sz w:val="24"/>
          <w:szCs w:val="24"/>
        </w:rPr>
      </w:pPr>
      <w:bookmarkStart w:id="56" w:name="_Toc339540883"/>
      <w:r w:rsidRPr="00775444">
        <w:rPr>
          <w:rFonts w:ascii="Times New Roman" w:hAnsi="Times New Roman" w:cs="Times New Roman"/>
          <w:b w:val="0"/>
          <w:color w:val="000000" w:themeColor="text1"/>
          <w:sz w:val="24"/>
          <w:szCs w:val="24"/>
        </w:rPr>
        <w:t xml:space="preserve">A new program of compliance reviews should include greater reliance on spot checks being undertaken on </w:t>
      </w:r>
      <w:r w:rsidR="009711E5">
        <w:rPr>
          <w:rFonts w:ascii="Times New Roman" w:hAnsi="Times New Roman" w:cs="Times New Roman"/>
          <w:b w:val="0"/>
          <w:color w:val="000000" w:themeColor="text1"/>
          <w:sz w:val="24"/>
          <w:szCs w:val="24"/>
        </w:rPr>
        <w:t>a random basis but informed by ‘educated guesses’</w:t>
      </w:r>
      <w:r w:rsidRPr="00775444">
        <w:rPr>
          <w:rFonts w:ascii="Times New Roman" w:hAnsi="Times New Roman" w:cs="Times New Roman"/>
          <w:b w:val="0"/>
          <w:color w:val="000000" w:themeColor="text1"/>
          <w:sz w:val="24"/>
          <w:szCs w:val="24"/>
        </w:rPr>
        <w:t xml:space="preserve"> about organisations that might be worth targeting, for example those associated with large donations, the selection of a sample of smaller organisations, choice of bodies that have a history of lodgement of late or i</w:t>
      </w:r>
      <w:r w:rsidR="009711E5">
        <w:rPr>
          <w:rFonts w:ascii="Times New Roman" w:hAnsi="Times New Roman" w:cs="Times New Roman"/>
          <w:b w:val="0"/>
          <w:color w:val="000000" w:themeColor="text1"/>
          <w:sz w:val="24"/>
          <w:szCs w:val="24"/>
        </w:rPr>
        <w:t>ncorrectly completed returns and other related matters</w:t>
      </w:r>
      <w:r w:rsidRPr="00775444">
        <w:rPr>
          <w:rFonts w:ascii="Times New Roman" w:hAnsi="Times New Roman" w:cs="Times New Roman"/>
          <w:b w:val="0"/>
          <w:color w:val="000000" w:themeColor="text1"/>
          <w:sz w:val="24"/>
          <w:szCs w:val="24"/>
        </w:rPr>
        <w:t>.  Not only would inclusion of more randomly selected areas not regularly covered extend the scope of the compliance program, but the extra element of surprise and uncertainty in choice of entities for review would strengthen the disincentive factor.</w:t>
      </w:r>
      <w:bookmarkEnd w:id="56"/>
    </w:p>
    <w:p w:rsidR="00F463A8" w:rsidRPr="00D327B2" w:rsidRDefault="00166DD3" w:rsidP="00F463A8">
      <w:pPr>
        <w:pStyle w:val="Heading2"/>
        <w:numPr>
          <w:ilvl w:val="1"/>
          <w:numId w:val="21"/>
        </w:numPr>
        <w:ind w:left="567" w:hanging="567"/>
        <w:rPr>
          <w:rFonts w:ascii="Times New Roman" w:hAnsi="Times New Roman" w:cs="Times New Roman"/>
          <w:b w:val="0"/>
          <w:color w:val="000000" w:themeColor="text1"/>
          <w:sz w:val="24"/>
          <w:szCs w:val="24"/>
        </w:rPr>
      </w:pPr>
      <w:bookmarkStart w:id="57" w:name="_Toc339540884"/>
      <w:r w:rsidRPr="00775444">
        <w:rPr>
          <w:rFonts w:ascii="Times New Roman" w:hAnsi="Times New Roman" w:cs="Times New Roman"/>
          <w:b w:val="0"/>
          <w:color w:val="000000" w:themeColor="text1"/>
          <w:sz w:val="24"/>
          <w:szCs w:val="24"/>
        </w:rPr>
        <w:t xml:space="preserve">A comprehensive database of the Commission’s clients over time that provides a profile of their nature and characteristics built up from the accumulated experience gained in dealing with them, together with information drawn from other available official and public sources, should be developed as an intelligence database to aid the compilation of the annual compliance review program. This should be linked in with the determination of new IT requirements that will involve close communication between the FAD areas, to connect </w:t>
      </w:r>
      <w:r w:rsidR="001604F3">
        <w:rPr>
          <w:rFonts w:ascii="Times New Roman" w:hAnsi="Times New Roman" w:cs="Times New Roman"/>
          <w:b w:val="0"/>
          <w:color w:val="000000" w:themeColor="text1"/>
          <w:sz w:val="24"/>
          <w:szCs w:val="24"/>
        </w:rPr>
        <w:t xml:space="preserve">more closely </w:t>
      </w:r>
      <w:r w:rsidRPr="00775444">
        <w:rPr>
          <w:rFonts w:ascii="Times New Roman" w:hAnsi="Times New Roman" w:cs="Times New Roman"/>
          <w:b w:val="0"/>
          <w:color w:val="000000" w:themeColor="text1"/>
          <w:sz w:val="24"/>
          <w:szCs w:val="24"/>
        </w:rPr>
        <w:t>the information needs with the work processes of both areas.</w:t>
      </w:r>
      <w:bookmarkEnd w:id="57"/>
    </w:p>
    <w:p w:rsidR="00D327B2" w:rsidRPr="00B94F23" w:rsidRDefault="00382B38" w:rsidP="00D327B2">
      <w:pPr>
        <w:pStyle w:val="Heading2"/>
        <w:numPr>
          <w:ilvl w:val="1"/>
          <w:numId w:val="21"/>
        </w:numPr>
        <w:ind w:left="567" w:hanging="567"/>
        <w:rPr>
          <w:rFonts w:ascii="Times New Roman" w:hAnsi="Times New Roman" w:cs="Times New Roman"/>
          <w:b w:val="0"/>
          <w:color w:val="000000" w:themeColor="text1"/>
          <w:sz w:val="24"/>
          <w:szCs w:val="24"/>
        </w:rPr>
      </w:pPr>
      <w:bookmarkStart w:id="58" w:name="_Toc339540885"/>
      <w:r w:rsidRPr="00775444">
        <w:rPr>
          <w:rFonts w:ascii="Times New Roman" w:hAnsi="Times New Roman" w:cs="Times New Roman"/>
          <w:b w:val="0"/>
          <w:color w:val="000000" w:themeColor="text1"/>
          <w:sz w:val="24"/>
          <w:szCs w:val="24"/>
        </w:rPr>
        <w:t>Should future compliance reviews aimed at checking on possible non-disclosure uncover suspect situations, providing t</w:t>
      </w:r>
      <w:r w:rsidR="007E6053">
        <w:rPr>
          <w:rFonts w:ascii="Times New Roman" w:hAnsi="Times New Roman" w:cs="Times New Roman"/>
          <w:b w:val="0"/>
          <w:color w:val="000000" w:themeColor="text1"/>
          <w:sz w:val="24"/>
          <w:szCs w:val="24"/>
        </w:rPr>
        <w:t>hat there is confidence that a ‘reasonable grounds’</w:t>
      </w:r>
      <w:r w:rsidRPr="00775444">
        <w:rPr>
          <w:rFonts w:ascii="Times New Roman" w:hAnsi="Times New Roman" w:cs="Times New Roman"/>
          <w:b w:val="0"/>
          <w:color w:val="000000" w:themeColor="text1"/>
          <w:sz w:val="24"/>
          <w:szCs w:val="24"/>
        </w:rPr>
        <w:t xml:space="preserve"> test can be met, it should be standard practice to then cease the review and replace it with an investigation under section 316(3).This would ensure that the further investigation proceeds on a more formal basis and in a manner that would support a potential prosecution. It would also substantially increase the ambit from which corroborative evidence could be sought.</w:t>
      </w:r>
      <w:bookmarkEnd w:id="58"/>
      <w:r w:rsidRPr="00775444">
        <w:rPr>
          <w:rFonts w:ascii="Times New Roman" w:hAnsi="Times New Roman" w:cs="Times New Roman"/>
          <w:b w:val="0"/>
          <w:color w:val="000000" w:themeColor="text1"/>
          <w:sz w:val="24"/>
          <w:szCs w:val="24"/>
        </w:rPr>
        <w:t xml:space="preserve">  </w:t>
      </w:r>
    </w:p>
    <w:p w:rsidR="005C7A5C" w:rsidRDefault="00F3360D" w:rsidP="005C7A5C">
      <w:pPr>
        <w:pStyle w:val="Heading2"/>
        <w:numPr>
          <w:ilvl w:val="1"/>
          <w:numId w:val="21"/>
        </w:numPr>
        <w:ind w:left="567" w:hanging="567"/>
        <w:rPr>
          <w:rFonts w:ascii="Times New Roman" w:hAnsi="Times New Roman" w:cs="Times New Roman"/>
          <w:b w:val="0"/>
          <w:color w:val="000000" w:themeColor="text1"/>
          <w:sz w:val="24"/>
          <w:szCs w:val="24"/>
        </w:rPr>
      </w:pPr>
      <w:bookmarkStart w:id="59" w:name="_Toc339540887"/>
      <w:r w:rsidRPr="00775444">
        <w:rPr>
          <w:rFonts w:ascii="Times New Roman" w:hAnsi="Times New Roman" w:cs="Times New Roman"/>
          <w:b w:val="0"/>
          <w:color w:val="000000" w:themeColor="text1"/>
          <w:sz w:val="24"/>
          <w:szCs w:val="24"/>
        </w:rPr>
        <w:t xml:space="preserve">Greater reliance on the use of analytical skills and the recruitment of some experienced staff with more sophisticated financial forensic skills are clearly needed to add more </w:t>
      </w:r>
      <w:r w:rsidR="0070763C">
        <w:rPr>
          <w:rFonts w:ascii="Times New Roman" w:hAnsi="Times New Roman" w:cs="Times New Roman"/>
          <w:b w:val="0"/>
          <w:color w:val="000000" w:themeColor="text1"/>
          <w:sz w:val="24"/>
          <w:szCs w:val="24"/>
        </w:rPr>
        <w:t>‘bite’</w:t>
      </w:r>
      <w:r w:rsidRPr="00775444">
        <w:rPr>
          <w:rFonts w:ascii="Times New Roman" w:hAnsi="Times New Roman" w:cs="Times New Roman"/>
          <w:b w:val="0"/>
          <w:color w:val="000000" w:themeColor="text1"/>
          <w:sz w:val="24"/>
          <w:szCs w:val="24"/>
        </w:rPr>
        <w:t xml:space="preserve"> to the reviews. </w:t>
      </w:r>
      <w:r w:rsidR="00E410F9" w:rsidRPr="00775444">
        <w:rPr>
          <w:rFonts w:ascii="Times New Roman" w:hAnsi="Times New Roman" w:cs="Times New Roman"/>
          <w:b w:val="0"/>
          <w:color w:val="000000" w:themeColor="text1"/>
          <w:sz w:val="24"/>
          <w:szCs w:val="24"/>
        </w:rPr>
        <w:t xml:space="preserve"> The Commission does not need to build up an excessively large investigative capacity but the present level of skill and the number of investigators currently employed are considered to be insufficient to support an expanded program in terms of breadth and depth.</w:t>
      </w:r>
      <w:bookmarkEnd w:id="59"/>
    </w:p>
    <w:p w:rsidR="00B94F23" w:rsidRPr="00B94F23" w:rsidRDefault="00B94F23" w:rsidP="00B94F23"/>
    <w:p w:rsidR="00E410F9" w:rsidRPr="00775444" w:rsidRDefault="00E410F9" w:rsidP="00775444">
      <w:pPr>
        <w:pStyle w:val="Heading2"/>
        <w:numPr>
          <w:ilvl w:val="1"/>
          <w:numId w:val="21"/>
        </w:numPr>
        <w:ind w:left="567" w:hanging="567"/>
        <w:rPr>
          <w:rFonts w:ascii="Times New Roman" w:hAnsi="Times New Roman" w:cs="Times New Roman"/>
          <w:b w:val="0"/>
          <w:color w:val="000000" w:themeColor="text1"/>
          <w:sz w:val="24"/>
          <w:szCs w:val="24"/>
        </w:rPr>
      </w:pPr>
      <w:bookmarkStart w:id="60" w:name="_Toc339540888"/>
      <w:r w:rsidRPr="00775444">
        <w:rPr>
          <w:rFonts w:ascii="Times New Roman" w:hAnsi="Times New Roman" w:cs="Times New Roman"/>
          <w:b w:val="0"/>
          <w:color w:val="000000" w:themeColor="text1"/>
          <w:sz w:val="24"/>
          <w:szCs w:val="24"/>
        </w:rPr>
        <w:lastRenderedPageBreak/>
        <w:t>As a start, at least two skilled analysts with financial investigative experience are needed if the Commission is to be able to achieve real change.</w:t>
      </w:r>
      <w:bookmarkEnd w:id="60"/>
    </w:p>
    <w:p w:rsidR="005179DB" w:rsidRDefault="008A6A0B" w:rsidP="005179DB">
      <w:pPr>
        <w:pStyle w:val="Heading2"/>
        <w:numPr>
          <w:ilvl w:val="1"/>
          <w:numId w:val="21"/>
        </w:numPr>
        <w:ind w:left="567" w:hanging="567"/>
        <w:rPr>
          <w:rFonts w:ascii="Times New Roman" w:hAnsi="Times New Roman" w:cs="Times New Roman"/>
          <w:b w:val="0"/>
          <w:color w:val="000000" w:themeColor="text1"/>
          <w:sz w:val="24"/>
          <w:szCs w:val="24"/>
        </w:rPr>
      </w:pPr>
      <w:bookmarkStart w:id="61" w:name="_Toc339540889"/>
      <w:r w:rsidRPr="00775444">
        <w:rPr>
          <w:rFonts w:ascii="Times New Roman" w:hAnsi="Times New Roman" w:cs="Times New Roman"/>
          <w:b w:val="0"/>
          <w:color w:val="000000" w:themeColor="text1"/>
          <w:sz w:val="24"/>
          <w:szCs w:val="24"/>
        </w:rPr>
        <w:t>The recommendations in this report and</w:t>
      </w:r>
      <w:r w:rsidR="005C7A5C">
        <w:rPr>
          <w:rFonts w:ascii="Times New Roman" w:hAnsi="Times New Roman" w:cs="Times New Roman"/>
          <w:b w:val="0"/>
          <w:color w:val="000000" w:themeColor="text1"/>
          <w:sz w:val="24"/>
          <w:szCs w:val="24"/>
        </w:rPr>
        <w:t xml:space="preserve"> the associated ones in the Pw</w:t>
      </w:r>
      <w:r w:rsidRPr="00775444">
        <w:rPr>
          <w:rFonts w:ascii="Times New Roman" w:hAnsi="Times New Roman" w:cs="Times New Roman"/>
          <w:b w:val="0"/>
          <w:color w:val="000000" w:themeColor="text1"/>
          <w:sz w:val="24"/>
          <w:szCs w:val="24"/>
        </w:rPr>
        <w:t xml:space="preserve">C’s work are aimed at building up the </w:t>
      </w:r>
      <w:r w:rsidR="00495542" w:rsidRPr="00775444">
        <w:rPr>
          <w:rFonts w:ascii="Times New Roman" w:hAnsi="Times New Roman" w:cs="Times New Roman"/>
          <w:b w:val="0"/>
          <w:color w:val="000000" w:themeColor="text1"/>
          <w:sz w:val="24"/>
          <w:szCs w:val="24"/>
        </w:rPr>
        <w:t>Commission</w:t>
      </w:r>
      <w:r w:rsidRPr="00775444">
        <w:rPr>
          <w:rFonts w:ascii="Times New Roman" w:hAnsi="Times New Roman" w:cs="Times New Roman"/>
          <w:b w:val="0"/>
          <w:color w:val="000000" w:themeColor="text1"/>
          <w:sz w:val="24"/>
          <w:szCs w:val="24"/>
        </w:rPr>
        <w:t xml:space="preserve">’s investigative capacity.  </w:t>
      </w:r>
      <w:r w:rsidR="00035F1C" w:rsidRPr="00775444">
        <w:rPr>
          <w:rFonts w:ascii="Times New Roman" w:hAnsi="Times New Roman" w:cs="Times New Roman"/>
          <w:b w:val="0"/>
          <w:color w:val="000000" w:themeColor="text1"/>
          <w:sz w:val="24"/>
          <w:szCs w:val="24"/>
        </w:rPr>
        <w:t>The implementation of the recommendations should give the Commission a greater degree of confidence in the future in assessing the level of compliance being achieve</w:t>
      </w:r>
      <w:r w:rsidR="004440F4">
        <w:rPr>
          <w:rFonts w:ascii="Times New Roman" w:hAnsi="Times New Roman" w:cs="Times New Roman"/>
          <w:b w:val="0"/>
          <w:color w:val="000000" w:themeColor="text1"/>
          <w:sz w:val="24"/>
          <w:szCs w:val="24"/>
        </w:rPr>
        <w:t>d than is possible at present.</w:t>
      </w:r>
      <w:bookmarkEnd w:id="61"/>
      <w:r w:rsidR="004440F4">
        <w:rPr>
          <w:rFonts w:ascii="Times New Roman" w:hAnsi="Times New Roman" w:cs="Times New Roman"/>
          <w:b w:val="0"/>
          <w:color w:val="000000" w:themeColor="text1"/>
          <w:sz w:val="24"/>
          <w:szCs w:val="24"/>
        </w:rPr>
        <w:t xml:space="preserve"> </w:t>
      </w:r>
    </w:p>
    <w:p w:rsidR="0039164C" w:rsidRDefault="000A4716" w:rsidP="0039164C">
      <w:pPr>
        <w:pStyle w:val="Heading2"/>
        <w:numPr>
          <w:ilvl w:val="1"/>
          <w:numId w:val="21"/>
        </w:numPr>
        <w:ind w:left="567" w:hanging="567"/>
        <w:rPr>
          <w:rFonts w:ascii="Times New Roman" w:hAnsi="Times New Roman" w:cs="Times New Roman"/>
          <w:b w:val="0"/>
          <w:color w:val="auto"/>
          <w:sz w:val="24"/>
          <w:szCs w:val="24"/>
        </w:rPr>
      </w:pPr>
      <w:bookmarkStart w:id="62" w:name="_Toc339540890"/>
      <w:r w:rsidRPr="005179DB">
        <w:rPr>
          <w:rFonts w:ascii="Times New Roman" w:hAnsi="Times New Roman" w:cs="Times New Roman"/>
          <w:b w:val="0"/>
          <w:color w:val="auto"/>
          <w:sz w:val="24"/>
          <w:szCs w:val="24"/>
        </w:rPr>
        <w:t>Even-handedness in a political party sense, in the choice of candidates for inclusion in the compliance review program, is still an important consideration in exercising the section 316(2A) powers, but ought not to dominate the selection process.</w:t>
      </w:r>
      <w:bookmarkEnd w:id="62"/>
      <w:r w:rsidRPr="005179DB">
        <w:rPr>
          <w:rFonts w:ascii="Times New Roman" w:hAnsi="Times New Roman" w:cs="Times New Roman"/>
          <w:b w:val="0"/>
          <w:color w:val="auto"/>
          <w:sz w:val="24"/>
          <w:szCs w:val="24"/>
        </w:rPr>
        <w:t xml:space="preserve"> </w:t>
      </w:r>
    </w:p>
    <w:p w:rsidR="0039164C" w:rsidRPr="0039164C" w:rsidRDefault="0039164C" w:rsidP="0039164C">
      <w:pPr>
        <w:pStyle w:val="Heading2"/>
        <w:rPr>
          <w:rFonts w:ascii="Times New Roman" w:hAnsi="Times New Roman" w:cs="Times New Roman"/>
          <w:color w:val="auto"/>
        </w:rPr>
      </w:pPr>
      <w:r w:rsidRPr="0039164C">
        <w:rPr>
          <w:rFonts w:ascii="Times New Roman" w:hAnsi="Times New Roman" w:cs="Times New Roman"/>
          <w:color w:val="auto"/>
        </w:rPr>
        <w:t>Associated entities</w:t>
      </w:r>
    </w:p>
    <w:p w:rsidR="0039164C" w:rsidRPr="0039164C" w:rsidRDefault="000A4716" w:rsidP="0039164C">
      <w:pPr>
        <w:pStyle w:val="Heading2"/>
        <w:numPr>
          <w:ilvl w:val="1"/>
          <w:numId w:val="21"/>
        </w:numPr>
        <w:ind w:left="567" w:hanging="567"/>
        <w:rPr>
          <w:rFonts w:ascii="Times New Roman" w:hAnsi="Times New Roman"/>
          <w:b w:val="0"/>
          <w:color w:val="auto"/>
          <w:sz w:val="24"/>
          <w:szCs w:val="24"/>
        </w:rPr>
      </w:pPr>
      <w:r w:rsidRPr="0039164C">
        <w:rPr>
          <w:rFonts w:ascii="Times New Roman" w:hAnsi="Times New Roman"/>
          <w:b w:val="0"/>
          <w:color w:val="auto"/>
          <w:sz w:val="24"/>
          <w:szCs w:val="24"/>
        </w:rPr>
        <w:t xml:space="preserve">The FAD section undertakes a process annually whereby all registered political parties are contacted and asked to list their associated entities.  There is no legislative power to conduct this process and a response cannot be compelled.  </w:t>
      </w:r>
      <w:r w:rsidR="00A27B1C" w:rsidRPr="0039164C">
        <w:rPr>
          <w:rFonts w:ascii="Times New Roman" w:hAnsi="Times New Roman"/>
          <w:b w:val="0"/>
          <w:color w:val="auto"/>
          <w:sz w:val="24"/>
          <w:szCs w:val="24"/>
        </w:rPr>
        <w:t>As</w:t>
      </w:r>
      <w:r w:rsidRPr="0039164C">
        <w:rPr>
          <w:rFonts w:ascii="Times New Roman" w:hAnsi="Times New Roman"/>
          <w:b w:val="0"/>
          <w:color w:val="auto"/>
          <w:sz w:val="24"/>
          <w:szCs w:val="24"/>
        </w:rPr>
        <w:t xml:space="preserve"> indicated elsewhere in this report, this is an imprecise exercise as often political parties themselves are not fully aware of all their associated entities.</w:t>
      </w:r>
    </w:p>
    <w:p w:rsidR="00F463A8" w:rsidRPr="0070763C" w:rsidRDefault="000A4716" w:rsidP="00F463A8">
      <w:pPr>
        <w:pStyle w:val="Heading2"/>
        <w:numPr>
          <w:ilvl w:val="1"/>
          <w:numId w:val="21"/>
        </w:numPr>
        <w:ind w:hanging="574"/>
        <w:rPr>
          <w:rFonts w:ascii="Times New Roman" w:hAnsi="Times New Roman" w:cs="Times New Roman"/>
          <w:b w:val="0"/>
          <w:color w:val="auto"/>
          <w:sz w:val="24"/>
          <w:szCs w:val="24"/>
        </w:rPr>
      </w:pPr>
      <w:bookmarkStart w:id="63" w:name="_Toc339540892"/>
      <w:r w:rsidRPr="000A4716">
        <w:rPr>
          <w:rFonts w:ascii="Times New Roman" w:hAnsi="Times New Roman" w:cs="Times New Roman"/>
          <w:b w:val="0"/>
          <w:color w:val="auto"/>
          <w:sz w:val="24"/>
          <w:szCs w:val="24"/>
        </w:rPr>
        <w:t>In the course of conducting compliance reviews of political parties, where staff identify information that indicates a particular body may be an associated entity, it is used to determine whether there are reasonable grounds to exercise the power under section 316(3A) of the Electoral Act.  The Commission has</w:t>
      </w:r>
      <w:r w:rsidR="008249F7">
        <w:rPr>
          <w:rFonts w:ascii="Times New Roman" w:hAnsi="Times New Roman" w:cs="Times New Roman"/>
          <w:b w:val="0"/>
          <w:color w:val="auto"/>
          <w:sz w:val="24"/>
          <w:szCs w:val="24"/>
        </w:rPr>
        <w:t xml:space="preserve"> also</w:t>
      </w:r>
      <w:r w:rsidRPr="000A4716">
        <w:rPr>
          <w:rFonts w:ascii="Times New Roman" w:hAnsi="Times New Roman" w:cs="Times New Roman"/>
          <w:b w:val="0"/>
          <w:color w:val="auto"/>
          <w:sz w:val="24"/>
          <w:szCs w:val="24"/>
        </w:rPr>
        <w:t xml:space="preserve"> in the past acted on complaints from individuals, media reports and information from other sources.</w:t>
      </w:r>
      <w:bookmarkEnd w:id="63"/>
      <w:r w:rsidR="003C7E7E">
        <w:rPr>
          <w:rStyle w:val="FootnoteReference"/>
          <w:rFonts w:ascii="Times New Roman" w:hAnsi="Times New Roman" w:cs="Times New Roman"/>
          <w:b w:val="0"/>
          <w:color w:val="auto"/>
          <w:sz w:val="24"/>
          <w:szCs w:val="24"/>
        </w:rPr>
        <w:footnoteReference w:id="29"/>
      </w:r>
    </w:p>
    <w:p w:rsidR="00D327B2" w:rsidRDefault="00574A0F" w:rsidP="00D327B2">
      <w:pPr>
        <w:pStyle w:val="Heading2"/>
        <w:numPr>
          <w:ilvl w:val="1"/>
          <w:numId w:val="21"/>
        </w:numPr>
        <w:ind w:left="567" w:hanging="567"/>
        <w:rPr>
          <w:rFonts w:ascii="Times New Roman" w:hAnsi="Times New Roman"/>
          <w:b w:val="0"/>
          <w:color w:val="auto"/>
          <w:sz w:val="24"/>
          <w:szCs w:val="24"/>
        </w:rPr>
      </w:pPr>
      <w:bookmarkStart w:id="64" w:name="_Toc339540893"/>
      <w:r w:rsidRPr="00574A0F">
        <w:rPr>
          <w:rFonts w:ascii="Times New Roman" w:hAnsi="Times New Roman"/>
          <w:b w:val="0"/>
          <w:color w:val="auto"/>
          <w:sz w:val="24"/>
          <w:szCs w:val="24"/>
        </w:rPr>
        <w:t xml:space="preserve">Given the inherent difficulties in comprehensively identifying all associated entities, the FAD section </w:t>
      </w:r>
      <w:r w:rsidR="001604F3">
        <w:rPr>
          <w:rFonts w:ascii="Times New Roman" w:hAnsi="Times New Roman"/>
          <w:b w:val="0"/>
          <w:color w:val="auto"/>
          <w:sz w:val="24"/>
          <w:szCs w:val="24"/>
        </w:rPr>
        <w:t>should</w:t>
      </w:r>
      <w:r w:rsidRPr="00574A0F">
        <w:rPr>
          <w:rFonts w:ascii="Times New Roman" w:hAnsi="Times New Roman"/>
          <w:b w:val="0"/>
          <w:color w:val="auto"/>
          <w:sz w:val="24"/>
          <w:szCs w:val="24"/>
        </w:rPr>
        <w:t xml:space="preserve"> consider incorporating directed measures in its practices, geared towards identifying comprehensively all associated entities of registered political parties.  While it is recognised associated entities can change between financial years, the disclosure and compliance areas could collaborate to determine an appropriate strategy to improve the way in which the section identifies associated entities.  One initial suggestion might to include some form of ‘follow-up’ of information received </w:t>
      </w:r>
      <w:r w:rsidR="001604F3">
        <w:rPr>
          <w:rFonts w:ascii="Times New Roman" w:hAnsi="Times New Roman"/>
          <w:b w:val="0"/>
          <w:color w:val="auto"/>
          <w:sz w:val="24"/>
          <w:szCs w:val="24"/>
        </w:rPr>
        <w:t>in response to</w:t>
      </w:r>
      <w:r w:rsidRPr="00574A0F">
        <w:rPr>
          <w:rFonts w:ascii="Times New Roman" w:hAnsi="Times New Roman"/>
          <w:b w:val="0"/>
          <w:color w:val="auto"/>
          <w:sz w:val="24"/>
          <w:szCs w:val="24"/>
        </w:rPr>
        <w:t xml:space="preserve"> the disclosure section</w:t>
      </w:r>
      <w:r w:rsidR="001604F3">
        <w:rPr>
          <w:rFonts w:ascii="Times New Roman" w:hAnsi="Times New Roman"/>
          <w:b w:val="0"/>
          <w:color w:val="auto"/>
          <w:sz w:val="24"/>
          <w:szCs w:val="24"/>
        </w:rPr>
        <w:t>’s initial</w:t>
      </w:r>
      <w:r w:rsidRPr="00574A0F">
        <w:rPr>
          <w:rFonts w:ascii="Times New Roman" w:hAnsi="Times New Roman"/>
          <w:b w:val="0"/>
          <w:color w:val="auto"/>
          <w:sz w:val="24"/>
          <w:szCs w:val="24"/>
        </w:rPr>
        <w:t xml:space="preserve"> request</w:t>
      </w:r>
      <w:r w:rsidR="001604F3">
        <w:rPr>
          <w:rFonts w:ascii="Times New Roman" w:hAnsi="Times New Roman"/>
          <w:b w:val="0"/>
          <w:color w:val="auto"/>
          <w:sz w:val="24"/>
          <w:szCs w:val="24"/>
        </w:rPr>
        <w:t xml:space="preserve"> </w:t>
      </w:r>
      <w:r w:rsidR="00ED2E1A">
        <w:rPr>
          <w:rFonts w:ascii="Times New Roman" w:hAnsi="Times New Roman"/>
          <w:b w:val="0"/>
          <w:color w:val="auto"/>
          <w:sz w:val="24"/>
          <w:szCs w:val="24"/>
        </w:rPr>
        <w:t xml:space="preserve">for parties to inform the Commission of their associated entities, </w:t>
      </w:r>
      <w:r w:rsidR="001604F3" w:rsidRPr="00574A0F">
        <w:rPr>
          <w:rFonts w:ascii="Times New Roman" w:hAnsi="Times New Roman"/>
          <w:b w:val="0"/>
          <w:color w:val="auto"/>
          <w:sz w:val="24"/>
          <w:szCs w:val="24"/>
        </w:rPr>
        <w:t>during the compliance review process</w:t>
      </w:r>
      <w:r w:rsidRPr="00574A0F">
        <w:rPr>
          <w:rFonts w:ascii="Times New Roman" w:hAnsi="Times New Roman"/>
          <w:b w:val="0"/>
          <w:color w:val="auto"/>
          <w:sz w:val="24"/>
          <w:szCs w:val="24"/>
        </w:rPr>
        <w:t>.  Where the circumstances warrant, section 316(3A) can then be invoked to obtain further information</w:t>
      </w:r>
      <w:bookmarkEnd w:id="64"/>
      <w:r w:rsidR="00ED2E1A">
        <w:rPr>
          <w:rFonts w:ascii="Times New Roman" w:hAnsi="Times New Roman"/>
          <w:b w:val="0"/>
          <w:color w:val="auto"/>
          <w:sz w:val="24"/>
          <w:szCs w:val="24"/>
        </w:rPr>
        <w:t>.</w:t>
      </w:r>
    </w:p>
    <w:p w:rsidR="00B94F23" w:rsidRDefault="00B94F23" w:rsidP="00B94F23"/>
    <w:p w:rsidR="00B94F23" w:rsidRDefault="00B94F23" w:rsidP="00B94F23"/>
    <w:p w:rsidR="00B94F23" w:rsidRPr="00B94F23" w:rsidRDefault="006C4250" w:rsidP="006C4250">
      <w:pPr>
        <w:tabs>
          <w:tab w:val="left" w:pos="1065"/>
        </w:tabs>
      </w:pPr>
      <w:r>
        <w:tab/>
      </w:r>
    </w:p>
    <w:p w:rsidR="00D340D6" w:rsidRPr="00ED2E1A" w:rsidRDefault="00D340D6" w:rsidP="00FF61A6">
      <w:pPr>
        <w:pStyle w:val="Heading3"/>
        <w:rPr>
          <w:rFonts w:ascii="Times New Roman" w:hAnsi="Times New Roman" w:cs="Times New Roman"/>
          <w:color w:val="auto"/>
          <w:sz w:val="24"/>
        </w:rPr>
      </w:pPr>
      <w:bookmarkStart w:id="65" w:name="_Toc339540894"/>
      <w:r w:rsidRPr="00ED2E1A">
        <w:rPr>
          <w:rFonts w:ascii="Times New Roman" w:hAnsi="Times New Roman" w:cs="Times New Roman"/>
          <w:color w:val="auto"/>
          <w:sz w:val="24"/>
        </w:rPr>
        <w:lastRenderedPageBreak/>
        <w:t>Recommendation 2:</w:t>
      </w:r>
      <w:bookmarkEnd w:id="65"/>
    </w:p>
    <w:p w:rsidR="00D340D6" w:rsidRDefault="00D340D6" w:rsidP="00D340D6">
      <w:pPr>
        <w:rPr>
          <w:rFonts w:ascii="Times New Roman" w:hAnsi="Times New Roman" w:cs="Times New Roman"/>
          <w:b/>
          <w:sz w:val="24"/>
          <w:szCs w:val="24"/>
        </w:rPr>
      </w:pPr>
      <w:r w:rsidRPr="00E3502B">
        <w:rPr>
          <w:rFonts w:ascii="Times New Roman" w:hAnsi="Times New Roman" w:cs="Times New Roman"/>
          <w:b/>
          <w:sz w:val="24"/>
          <w:szCs w:val="24"/>
        </w:rPr>
        <w:t>A new business model</w:t>
      </w:r>
      <w:r w:rsidR="00166DD3">
        <w:rPr>
          <w:rFonts w:ascii="Times New Roman" w:hAnsi="Times New Roman" w:cs="Times New Roman"/>
          <w:b/>
          <w:sz w:val="24"/>
          <w:szCs w:val="24"/>
        </w:rPr>
        <w:t xml:space="preserve"> to facilitate the broadening of</w:t>
      </w:r>
      <w:r w:rsidRPr="00E3502B">
        <w:rPr>
          <w:rFonts w:ascii="Times New Roman" w:hAnsi="Times New Roman" w:cs="Times New Roman"/>
          <w:b/>
          <w:sz w:val="24"/>
          <w:szCs w:val="24"/>
        </w:rPr>
        <w:t xml:space="preserve"> the compliance function should be developed involving:</w:t>
      </w:r>
    </w:p>
    <w:p w:rsidR="00D340D6" w:rsidRPr="00F3360D" w:rsidRDefault="00D340D6" w:rsidP="00F3360D">
      <w:pPr>
        <w:pStyle w:val="ListParagraph"/>
        <w:numPr>
          <w:ilvl w:val="0"/>
          <w:numId w:val="10"/>
        </w:numPr>
        <w:rPr>
          <w:rFonts w:ascii="Times New Roman" w:hAnsi="Times New Roman" w:cs="Times New Roman"/>
          <w:b/>
          <w:sz w:val="24"/>
          <w:szCs w:val="24"/>
        </w:rPr>
      </w:pPr>
      <w:r w:rsidRPr="00E3502B">
        <w:rPr>
          <w:rFonts w:ascii="Times New Roman" w:hAnsi="Times New Roman" w:cs="Times New Roman"/>
          <w:b/>
          <w:sz w:val="24"/>
          <w:szCs w:val="24"/>
        </w:rPr>
        <w:t xml:space="preserve">a greater reliance on spot check reviews being undertaken on a random basis </w:t>
      </w:r>
      <w:r>
        <w:rPr>
          <w:rFonts w:ascii="Times New Roman" w:hAnsi="Times New Roman" w:cs="Times New Roman"/>
          <w:b/>
          <w:sz w:val="24"/>
          <w:szCs w:val="24"/>
        </w:rPr>
        <w:t xml:space="preserve">to </w:t>
      </w:r>
      <w:r w:rsidR="00F3360D">
        <w:rPr>
          <w:rFonts w:ascii="Times New Roman" w:hAnsi="Times New Roman" w:cs="Times New Roman"/>
          <w:b/>
          <w:sz w:val="24"/>
          <w:szCs w:val="24"/>
        </w:rPr>
        <w:t xml:space="preserve">broaden </w:t>
      </w:r>
      <w:r w:rsidR="00F463A8">
        <w:rPr>
          <w:rFonts w:ascii="Times New Roman" w:hAnsi="Times New Roman" w:cs="Times New Roman"/>
          <w:b/>
          <w:sz w:val="24"/>
          <w:szCs w:val="24"/>
        </w:rPr>
        <w:t>the</w:t>
      </w:r>
      <w:r w:rsidR="00F3360D">
        <w:rPr>
          <w:rFonts w:ascii="Times New Roman" w:hAnsi="Times New Roman" w:cs="Times New Roman"/>
          <w:b/>
          <w:sz w:val="24"/>
          <w:szCs w:val="24"/>
        </w:rPr>
        <w:t xml:space="preserve"> scope and coverage of compliance reviews </w:t>
      </w:r>
      <w:r w:rsidR="00F3360D" w:rsidRPr="00F3360D">
        <w:rPr>
          <w:rFonts w:ascii="Times New Roman" w:hAnsi="Times New Roman" w:cs="Times New Roman"/>
          <w:b/>
          <w:sz w:val="24"/>
          <w:szCs w:val="24"/>
        </w:rPr>
        <w:t>a</w:t>
      </w:r>
      <w:r w:rsidR="00F3360D">
        <w:rPr>
          <w:rFonts w:ascii="Times New Roman" w:hAnsi="Times New Roman" w:cs="Times New Roman"/>
          <w:b/>
          <w:sz w:val="24"/>
          <w:szCs w:val="24"/>
        </w:rPr>
        <w:t>nd</w:t>
      </w:r>
      <w:r w:rsidR="00F3360D" w:rsidRPr="00F3360D">
        <w:rPr>
          <w:rFonts w:ascii="Times New Roman" w:hAnsi="Times New Roman" w:cs="Times New Roman"/>
          <w:b/>
          <w:sz w:val="24"/>
          <w:szCs w:val="24"/>
        </w:rPr>
        <w:t xml:space="preserve"> </w:t>
      </w:r>
      <w:r w:rsidRPr="00F3360D">
        <w:rPr>
          <w:rFonts w:ascii="Times New Roman" w:hAnsi="Times New Roman" w:cs="Times New Roman"/>
          <w:b/>
          <w:sz w:val="24"/>
          <w:szCs w:val="24"/>
        </w:rPr>
        <w:t>supplement</w:t>
      </w:r>
      <w:r w:rsidR="00F3360D" w:rsidRPr="00F3360D">
        <w:rPr>
          <w:rFonts w:ascii="Times New Roman" w:hAnsi="Times New Roman" w:cs="Times New Roman"/>
          <w:b/>
          <w:sz w:val="24"/>
          <w:szCs w:val="24"/>
        </w:rPr>
        <w:t xml:space="preserve"> t</w:t>
      </w:r>
      <w:r w:rsidRPr="00F3360D">
        <w:rPr>
          <w:rFonts w:ascii="Times New Roman" w:hAnsi="Times New Roman" w:cs="Times New Roman"/>
          <w:b/>
          <w:sz w:val="24"/>
          <w:szCs w:val="24"/>
        </w:rPr>
        <w:t xml:space="preserve">he </w:t>
      </w:r>
      <w:r w:rsidR="00F3360D" w:rsidRPr="00F3360D">
        <w:rPr>
          <w:rFonts w:ascii="Times New Roman" w:hAnsi="Times New Roman" w:cs="Times New Roman"/>
          <w:b/>
          <w:sz w:val="24"/>
          <w:szCs w:val="24"/>
        </w:rPr>
        <w:t>regular compliance review program that has developed in the area</w:t>
      </w:r>
      <w:r w:rsidR="00F463A8">
        <w:rPr>
          <w:rFonts w:ascii="Times New Roman" w:hAnsi="Times New Roman" w:cs="Times New Roman"/>
          <w:b/>
          <w:sz w:val="24"/>
          <w:szCs w:val="24"/>
        </w:rPr>
        <w:t>,</w:t>
      </w:r>
    </w:p>
    <w:p w:rsidR="00D340D6" w:rsidRDefault="00D340D6" w:rsidP="00D340D6">
      <w:pPr>
        <w:pStyle w:val="ListParagraph"/>
        <w:numPr>
          <w:ilvl w:val="0"/>
          <w:numId w:val="10"/>
        </w:numPr>
        <w:rPr>
          <w:rFonts w:ascii="Times New Roman" w:hAnsi="Times New Roman" w:cs="Times New Roman"/>
          <w:b/>
          <w:sz w:val="24"/>
          <w:szCs w:val="24"/>
        </w:rPr>
      </w:pPr>
      <w:r w:rsidRPr="00E3502B">
        <w:rPr>
          <w:rFonts w:ascii="Times New Roman" w:hAnsi="Times New Roman" w:cs="Times New Roman"/>
          <w:b/>
          <w:sz w:val="24"/>
          <w:szCs w:val="24"/>
        </w:rPr>
        <w:t xml:space="preserve">the conduct of reviews aimed </w:t>
      </w:r>
      <w:r w:rsidR="00F3360D">
        <w:rPr>
          <w:rFonts w:ascii="Times New Roman" w:hAnsi="Times New Roman" w:cs="Times New Roman"/>
          <w:b/>
          <w:sz w:val="24"/>
          <w:szCs w:val="24"/>
        </w:rPr>
        <w:t xml:space="preserve">specifically </w:t>
      </w:r>
      <w:r w:rsidRPr="00E3502B">
        <w:rPr>
          <w:rFonts w:ascii="Times New Roman" w:hAnsi="Times New Roman" w:cs="Times New Roman"/>
          <w:b/>
          <w:sz w:val="24"/>
          <w:szCs w:val="24"/>
        </w:rPr>
        <w:t xml:space="preserve">at enabling objective assessments to be made of the level of disclosure compliance being achieved, </w:t>
      </w:r>
    </w:p>
    <w:p w:rsidR="005179DB" w:rsidRPr="00E3502B" w:rsidRDefault="005179DB" w:rsidP="00D340D6">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a direction of effort and resources to properly ensuring that all associated entities with disclosure obligations are captured by the Commission,</w:t>
      </w:r>
    </w:p>
    <w:p w:rsidR="00B9347B" w:rsidRDefault="00D340D6" w:rsidP="00B9347B">
      <w:pPr>
        <w:pStyle w:val="ListParagraph"/>
        <w:numPr>
          <w:ilvl w:val="0"/>
          <w:numId w:val="10"/>
        </w:numPr>
        <w:rPr>
          <w:rFonts w:ascii="Times New Roman" w:hAnsi="Times New Roman" w:cs="Times New Roman"/>
          <w:b/>
          <w:sz w:val="24"/>
          <w:szCs w:val="24"/>
        </w:rPr>
      </w:pPr>
      <w:r w:rsidRPr="008141D5">
        <w:rPr>
          <w:rFonts w:ascii="Times New Roman" w:hAnsi="Times New Roman" w:cs="Times New Roman"/>
          <w:b/>
          <w:sz w:val="24"/>
          <w:szCs w:val="24"/>
        </w:rPr>
        <w:t>continuation of the concept of even-handedness in coverage of the main political parties.</w:t>
      </w:r>
      <w:r w:rsidR="001604F3">
        <w:rPr>
          <w:rStyle w:val="FootnoteReference"/>
          <w:rFonts w:ascii="Times New Roman" w:hAnsi="Times New Roman" w:cs="Times New Roman"/>
          <w:b/>
          <w:sz w:val="24"/>
          <w:szCs w:val="24"/>
        </w:rPr>
        <w:footnoteReference w:id="30"/>
      </w:r>
      <w:r w:rsidRPr="008141D5">
        <w:rPr>
          <w:rFonts w:ascii="Times New Roman" w:hAnsi="Times New Roman" w:cs="Times New Roman"/>
          <w:b/>
          <w:sz w:val="24"/>
          <w:szCs w:val="24"/>
        </w:rPr>
        <w:t xml:space="preserve"> </w:t>
      </w:r>
    </w:p>
    <w:p w:rsidR="0039164C" w:rsidRPr="0039164C" w:rsidRDefault="0039164C" w:rsidP="0039164C">
      <w:pPr>
        <w:pStyle w:val="Heading2"/>
        <w:rPr>
          <w:rFonts w:ascii="Times New Roman" w:hAnsi="Times New Roman" w:cs="Times New Roman"/>
          <w:color w:val="auto"/>
        </w:rPr>
      </w:pPr>
      <w:r w:rsidRPr="0039164C">
        <w:rPr>
          <w:rFonts w:ascii="Times New Roman" w:hAnsi="Times New Roman" w:cs="Times New Roman"/>
          <w:color w:val="auto"/>
        </w:rPr>
        <w:t>Limitations of the proposed new approach</w:t>
      </w:r>
    </w:p>
    <w:p w:rsidR="004440F4" w:rsidRDefault="004440F4" w:rsidP="0039164C">
      <w:pPr>
        <w:pStyle w:val="Heading2"/>
        <w:numPr>
          <w:ilvl w:val="1"/>
          <w:numId w:val="21"/>
        </w:numPr>
        <w:ind w:left="567" w:hanging="567"/>
        <w:rPr>
          <w:rFonts w:ascii="Times New Roman" w:hAnsi="Times New Roman"/>
          <w:b w:val="0"/>
          <w:color w:val="auto"/>
          <w:sz w:val="24"/>
          <w:szCs w:val="24"/>
        </w:rPr>
      </w:pPr>
      <w:r w:rsidRPr="0039164C">
        <w:rPr>
          <w:rFonts w:ascii="Times New Roman" w:hAnsi="Times New Roman"/>
          <w:b w:val="0"/>
          <w:color w:val="auto"/>
          <w:sz w:val="24"/>
          <w:szCs w:val="24"/>
        </w:rPr>
        <w:t xml:space="preserve">The new business model proposed in the preceding recommendations sets out a revised </w:t>
      </w:r>
      <w:r w:rsidR="006407BD" w:rsidRPr="0039164C">
        <w:rPr>
          <w:rFonts w:ascii="Times New Roman" w:hAnsi="Times New Roman"/>
          <w:b w:val="0"/>
          <w:color w:val="auto"/>
          <w:sz w:val="24"/>
          <w:szCs w:val="24"/>
        </w:rPr>
        <w:t xml:space="preserve">‘scheme’ that aims to broaden the scope of </w:t>
      </w:r>
      <w:r w:rsidR="00752BFD" w:rsidRPr="0039164C">
        <w:rPr>
          <w:rFonts w:ascii="Times New Roman" w:hAnsi="Times New Roman"/>
          <w:b w:val="0"/>
          <w:color w:val="auto"/>
          <w:sz w:val="24"/>
          <w:szCs w:val="24"/>
        </w:rPr>
        <w:t>c</w:t>
      </w:r>
      <w:r w:rsidR="006407BD" w:rsidRPr="0039164C">
        <w:rPr>
          <w:rFonts w:ascii="Times New Roman" w:hAnsi="Times New Roman"/>
          <w:b w:val="0"/>
          <w:color w:val="auto"/>
          <w:sz w:val="24"/>
          <w:szCs w:val="24"/>
        </w:rPr>
        <w:t>overage of organisations or persons included in the Commission’s compliance review program.  However, there are a range of legislative limitations that will continue to apply.  In</w:t>
      </w:r>
      <w:r w:rsidRPr="0039164C">
        <w:rPr>
          <w:rFonts w:ascii="Times New Roman" w:hAnsi="Times New Roman"/>
          <w:b w:val="0"/>
          <w:color w:val="auto"/>
          <w:sz w:val="24"/>
          <w:szCs w:val="24"/>
        </w:rPr>
        <w:t xml:space="preserve"> enforcing compliance with the scheme, the Commission can still only:</w:t>
      </w:r>
    </w:p>
    <w:p w:rsidR="0039164C" w:rsidRPr="0039164C" w:rsidRDefault="0039164C" w:rsidP="0039164C">
      <w:pPr>
        <w:spacing w:after="0"/>
      </w:pPr>
    </w:p>
    <w:p w:rsidR="004440F4" w:rsidRPr="00E64F33" w:rsidRDefault="004440F4" w:rsidP="004440F4">
      <w:pPr>
        <w:pStyle w:val="ListParagraph"/>
        <w:numPr>
          <w:ilvl w:val="0"/>
          <w:numId w:val="29"/>
        </w:numPr>
        <w:spacing w:line="240" w:lineRule="auto"/>
        <w:rPr>
          <w:rFonts w:ascii="Times New Roman" w:hAnsi="Times New Roman"/>
          <w:sz w:val="24"/>
          <w:szCs w:val="24"/>
        </w:rPr>
      </w:pPr>
      <w:r w:rsidRPr="00E64F33">
        <w:rPr>
          <w:rFonts w:ascii="Times New Roman" w:hAnsi="Times New Roman"/>
          <w:sz w:val="24"/>
          <w:szCs w:val="24"/>
        </w:rPr>
        <w:t xml:space="preserve">Under section 316(2A), serve a notice on an agent or other officer of a registered political party, a financial controller of an associated entity or a ‘prescribed person’ to determine whether they have complied with Part XX; </w:t>
      </w:r>
    </w:p>
    <w:p w:rsidR="004440F4" w:rsidRPr="00E64F33" w:rsidRDefault="004440F4" w:rsidP="004440F4">
      <w:pPr>
        <w:pStyle w:val="ListParagraph"/>
        <w:ind w:left="780"/>
        <w:rPr>
          <w:rFonts w:ascii="Times New Roman" w:hAnsi="Times New Roman"/>
          <w:sz w:val="24"/>
          <w:szCs w:val="24"/>
        </w:rPr>
      </w:pPr>
    </w:p>
    <w:p w:rsidR="00E03FA9" w:rsidRDefault="004440F4" w:rsidP="00E03FA9">
      <w:pPr>
        <w:pStyle w:val="ListParagraph"/>
        <w:numPr>
          <w:ilvl w:val="0"/>
          <w:numId w:val="29"/>
        </w:numPr>
        <w:spacing w:line="240" w:lineRule="auto"/>
        <w:rPr>
          <w:rFonts w:ascii="Times New Roman" w:hAnsi="Times New Roman"/>
          <w:sz w:val="24"/>
          <w:szCs w:val="24"/>
        </w:rPr>
      </w:pPr>
      <w:r w:rsidRPr="00E64F33">
        <w:rPr>
          <w:rFonts w:ascii="Times New Roman" w:hAnsi="Times New Roman"/>
          <w:sz w:val="24"/>
          <w:szCs w:val="24"/>
        </w:rPr>
        <w:t>Under section 316(3), serve a notice on ‘a person’ where there are reasonable grounds to believe that ‘person’ can provide information in relation to a contrave</w:t>
      </w:r>
      <w:r w:rsidR="00E03FA9">
        <w:rPr>
          <w:rFonts w:ascii="Times New Roman" w:hAnsi="Times New Roman"/>
          <w:sz w:val="24"/>
          <w:szCs w:val="24"/>
        </w:rPr>
        <w:t>ntion or possible contravention;</w:t>
      </w:r>
    </w:p>
    <w:p w:rsidR="00E03FA9" w:rsidRPr="00E03FA9" w:rsidRDefault="00E03FA9" w:rsidP="00E03FA9">
      <w:pPr>
        <w:pStyle w:val="ListParagraph"/>
        <w:rPr>
          <w:rFonts w:ascii="Times New Roman" w:hAnsi="Times New Roman"/>
          <w:sz w:val="24"/>
          <w:szCs w:val="24"/>
        </w:rPr>
      </w:pPr>
    </w:p>
    <w:p w:rsidR="00F975DA" w:rsidRPr="00E03FA9" w:rsidRDefault="00E03FA9" w:rsidP="00E03FA9">
      <w:pPr>
        <w:pStyle w:val="ListParagraph"/>
        <w:numPr>
          <w:ilvl w:val="0"/>
          <w:numId w:val="29"/>
        </w:numPr>
        <w:spacing w:line="240" w:lineRule="auto"/>
        <w:rPr>
          <w:rFonts w:ascii="Times New Roman" w:hAnsi="Times New Roman"/>
          <w:sz w:val="24"/>
          <w:szCs w:val="24"/>
        </w:rPr>
      </w:pPr>
      <w:r w:rsidRPr="00E03FA9">
        <w:rPr>
          <w:rFonts w:ascii="Times New Roman" w:hAnsi="Times New Roman"/>
          <w:sz w:val="24"/>
          <w:szCs w:val="24"/>
        </w:rPr>
        <w:t>Under s</w:t>
      </w:r>
      <w:r>
        <w:rPr>
          <w:rFonts w:ascii="Times New Roman" w:hAnsi="Times New Roman"/>
          <w:sz w:val="24"/>
          <w:szCs w:val="24"/>
        </w:rPr>
        <w:t xml:space="preserve">ection 316(2D), </w:t>
      </w:r>
      <w:r w:rsidR="00F975DA" w:rsidRPr="00E03FA9">
        <w:rPr>
          <w:rFonts w:ascii="Times New Roman" w:hAnsi="Times New Roman"/>
          <w:sz w:val="24"/>
          <w:szCs w:val="24"/>
        </w:rPr>
        <w:t>conduct an investigation of any gift of $25 000</w:t>
      </w:r>
      <w:r w:rsidRPr="00E03FA9">
        <w:rPr>
          <w:rFonts w:ascii="Times New Roman" w:hAnsi="Times New Roman"/>
          <w:sz w:val="24"/>
          <w:szCs w:val="24"/>
        </w:rPr>
        <w:t xml:space="preserve"> or more</w:t>
      </w:r>
      <w:r w:rsidR="00F975DA" w:rsidRPr="00E03FA9">
        <w:rPr>
          <w:rFonts w:ascii="Times New Roman" w:hAnsi="Times New Roman"/>
          <w:sz w:val="24"/>
          <w:szCs w:val="24"/>
        </w:rPr>
        <w:t xml:space="preserve"> to a registered political party or a candidate.  The Commission’s application of this power has been discussed elsewhere in the report, but it must be noted </w:t>
      </w:r>
      <w:r w:rsidRPr="00E03FA9">
        <w:rPr>
          <w:rFonts w:ascii="Times New Roman" w:hAnsi="Times New Roman"/>
          <w:sz w:val="24"/>
          <w:szCs w:val="24"/>
        </w:rPr>
        <w:t>for the current purposes</w:t>
      </w:r>
      <w:r w:rsidR="00F975DA" w:rsidRPr="00E03FA9">
        <w:rPr>
          <w:rFonts w:ascii="Times New Roman" w:hAnsi="Times New Roman"/>
          <w:sz w:val="24"/>
          <w:szCs w:val="24"/>
        </w:rPr>
        <w:t xml:space="preserve"> that section 316(2D) does not include a power to serve a notice on a donor</w:t>
      </w:r>
      <w:r w:rsidRPr="00E03FA9">
        <w:rPr>
          <w:rFonts w:ascii="Times New Roman" w:hAnsi="Times New Roman"/>
          <w:sz w:val="24"/>
          <w:szCs w:val="24"/>
        </w:rPr>
        <w:t xml:space="preserve"> of $25 000 or more</w:t>
      </w:r>
      <w:r>
        <w:rPr>
          <w:rFonts w:ascii="Times New Roman" w:hAnsi="Times New Roman"/>
          <w:sz w:val="24"/>
          <w:szCs w:val="24"/>
        </w:rPr>
        <w:t xml:space="preserve"> to compel information</w:t>
      </w:r>
      <w:r w:rsidR="00F975DA" w:rsidRPr="00E03FA9">
        <w:rPr>
          <w:rFonts w:ascii="Times New Roman" w:hAnsi="Times New Roman"/>
          <w:sz w:val="24"/>
          <w:szCs w:val="24"/>
        </w:rPr>
        <w:t>.  This means the Commission’s scope to conduct an investigation under this power is limited to the information that is submitted to it in pursuance of the disclosure obligations.</w:t>
      </w:r>
    </w:p>
    <w:p w:rsidR="00F975DA" w:rsidRDefault="00F975DA" w:rsidP="00F975DA">
      <w:pPr>
        <w:pStyle w:val="ListParagraph"/>
        <w:spacing w:line="240" w:lineRule="auto"/>
        <w:ind w:left="567"/>
        <w:rPr>
          <w:rFonts w:ascii="Times New Roman" w:hAnsi="Times New Roman"/>
          <w:sz w:val="24"/>
          <w:szCs w:val="24"/>
        </w:rPr>
      </w:pPr>
    </w:p>
    <w:p w:rsidR="008249F7" w:rsidRDefault="00E03FA9" w:rsidP="008249F7">
      <w:pPr>
        <w:pStyle w:val="ListParagraph"/>
        <w:numPr>
          <w:ilvl w:val="1"/>
          <w:numId w:val="21"/>
        </w:numPr>
        <w:spacing w:line="240" w:lineRule="auto"/>
        <w:ind w:left="567" w:hanging="567"/>
        <w:rPr>
          <w:rFonts w:ascii="Times New Roman" w:hAnsi="Times New Roman"/>
          <w:sz w:val="24"/>
          <w:szCs w:val="24"/>
        </w:rPr>
      </w:pPr>
      <w:r>
        <w:rPr>
          <w:rFonts w:ascii="Times New Roman" w:hAnsi="Times New Roman"/>
          <w:sz w:val="24"/>
          <w:szCs w:val="24"/>
        </w:rPr>
        <w:t>The</w:t>
      </w:r>
      <w:r w:rsidR="004440F4" w:rsidRPr="00574A0F">
        <w:rPr>
          <w:rFonts w:ascii="Times New Roman" w:hAnsi="Times New Roman"/>
          <w:sz w:val="24"/>
          <w:szCs w:val="24"/>
        </w:rPr>
        <w:t xml:space="preserve"> standard compliance review program is conducted under section 316(2A), which limits the ‘net’ of people that may be subject to a notice </w:t>
      </w:r>
      <w:r w:rsidR="004440F4" w:rsidRPr="00574A0F">
        <w:rPr>
          <w:rFonts w:ascii="Times New Roman" w:hAnsi="Times New Roman"/>
          <w:i/>
          <w:sz w:val="24"/>
          <w:szCs w:val="24"/>
        </w:rPr>
        <w:t xml:space="preserve">without </w:t>
      </w:r>
      <w:r w:rsidR="004440F4" w:rsidRPr="00574A0F">
        <w:rPr>
          <w:rFonts w:ascii="Times New Roman" w:hAnsi="Times New Roman"/>
          <w:sz w:val="24"/>
          <w:szCs w:val="24"/>
        </w:rPr>
        <w:t>the reasonable grounds proviso being satisfied to those that are covered by the disclosure scheme.  This is the key distinction between the provisions.</w:t>
      </w:r>
    </w:p>
    <w:p w:rsidR="008249F7" w:rsidRDefault="008249F7" w:rsidP="008249F7">
      <w:pPr>
        <w:pStyle w:val="ListParagraph"/>
        <w:spacing w:line="240" w:lineRule="auto"/>
        <w:ind w:left="574"/>
        <w:rPr>
          <w:rFonts w:ascii="Times New Roman" w:hAnsi="Times New Roman"/>
          <w:sz w:val="24"/>
          <w:szCs w:val="24"/>
        </w:rPr>
      </w:pPr>
    </w:p>
    <w:p w:rsidR="008249F7" w:rsidRDefault="004440F4" w:rsidP="008249F7">
      <w:pPr>
        <w:pStyle w:val="ListParagraph"/>
        <w:numPr>
          <w:ilvl w:val="1"/>
          <w:numId w:val="21"/>
        </w:numPr>
        <w:spacing w:line="240" w:lineRule="auto"/>
        <w:ind w:hanging="574"/>
        <w:rPr>
          <w:rFonts w:ascii="Times New Roman" w:hAnsi="Times New Roman"/>
          <w:sz w:val="24"/>
          <w:szCs w:val="24"/>
        </w:rPr>
      </w:pPr>
      <w:r w:rsidRPr="008249F7">
        <w:rPr>
          <w:rFonts w:ascii="Times New Roman" w:hAnsi="Times New Roman"/>
          <w:sz w:val="24"/>
          <w:szCs w:val="24"/>
        </w:rPr>
        <w:lastRenderedPageBreak/>
        <w:t>Importantly, the development and application of the new business model for the Commission’s compliance review function will not</w:t>
      </w:r>
      <w:r w:rsidR="00960548">
        <w:rPr>
          <w:rFonts w:ascii="Times New Roman" w:hAnsi="Times New Roman"/>
          <w:sz w:val="24"/>
          <w:szCs w:val="24"/>
        </w:rPr>
        <w:t xml:space="preserve"> </w:t>
      </w:r>
      <w:r w:rsidRPr="008249F7">
        <w:rPr>
          <w:rFonts w:ascii="Times New Roman" w:hAnsi="Times New Roman"/>
          <w:sz w:val="24"/>
          <w:szCs w:val="24"/>
        </w:rPr>
        <w:t xml:space="preserve">result in bodies that would not normally be captured by the terms of section 316 suddenly being included </w:t>
      </w:r>
      <w:r w:rsidR="00960548">
        <w:rPr>
          <w:rFonts w:ascii="Times New Roman" w:hAnsi="Times New Roman"/>
          <w:sz w:val="24"/>
          <w:szCs w:val="24"/>
        </w:rPr>
        <w:t>within the ambit of the</w:t>
      </w:r>
      <w:r w:rsidRPr="008249F7">
        <w:rPr>
          <w:rFonts w:ascii="Times New Roman" w:hAnsi="Times New Roman"/>
          <w:sz w:val="24"/>
          <w:szCs w:val="24"/>
        </w:rPr>
        <w:t xml:space="preserve"> Commission’s compliance review program.</w:t>
      </w:r>
      <w:r w:rsidRPr="008249F7">
        <w:rPr>
          <w:rFonts w:ascii="Times New Roman" w:hAnsi="Times New Roman"/>
          <w:sz w:val="24"/>
          <w:szCs w:val="24"/>
          <w:highlight w:val="yellow"/>
        </w:rPr>
        <w:t xml:space="preserve"> </w:t>
      </w:r>
    </w:p>
    <w:p w:rsidR="008249F7" w:rsidRPr="008249F7" w:rsidRDefault="008249F7" w:rsidP="008249F7">
      <w:pPr>
        <w:pStyle w:val="ListParagraph"/>
        <w:rPr>
          <w:rFonts w:ascii="Times New Roman" w:hAnsi="Times New Roman"/>
          <w:sz w:val="24"/>
          <w:szCs w:val="24"/>
        </w:rPr>
      </w:pPr>
    </w:p>
    <w:p w:rsidR="008249F7" w:rsidRDefault="004440F4" w:rsidP="008249F7">
      <w:pPr>
        <w:pStyle w:val="ListParagraph"/>
        <w:numPr>
          <w:ilvl w:val="1"/>
          <w:numId w:val="21"/>
        </w:numPr>
        <w:spacing w:line="240" w:lineRule="auto"/>
        <w:ind w:hanging="574"/>
        <w:rPr>
          <w:rFonts w:ascii="Times New Roman" w:hAnsi="Times New Roman"/>
          <w:sz w:val="24"/>
          <w:szCs w:val="24"/>
        </w:rPr>
      </w:pPr>
      <w:r w:rsidRPr="008249F7">
        <w:rPr>
          <w:rFonts w:ascii="Times New Roman" w:hAnsi="Times New Roman"/>
          <w:sz w:val="24"/>
          <w:szCs w:val="24"/>
        </w:rPr>
        <w:t xml:space="preserve">For example, the Commission has been subject to criticism for not including unions in its standard compliance review program conducted under section 316(2A), which, as </w:t>
      </w:r>
      <w:r w:rsidR="00960548">
        <w:rPr>
          <w:rFonts w:ascii="Times New Roman" w:hAnsi="Times New Roman"/>
          <w:sz w:val="24"/>
          <w:szCs w:val="24"/>
        </w:rPr>
        <w:t xml:space="preserve">mentioned </w:t>
      </w:r>
      <w:r w:rsidRPr="008249F7">
        <w:rPr>
          <w:rFonts w:ascii="Times New Roman" w:hAnsi="Times New Roman"/>
          <w:sz w:val="24"/>
          <w:szCs w:val="24"/>
        </w:rPr>
        <w:t xml:space="preserve">above, extends only to individuals within political parties, associated entities and to prescribed persons.  </w:t>
      </w:r>
    </w:p>
    <w:p w:rsidR="008249F7" w:rsidRPr="008249F7" w:rsidRDefault="008249F7" w:rsidP="008249F7">
      <w:pPr>
        <w:pStyle w:val="ListParagraph"/>
        <w:rPr>
          <w:rFonts w:ascii="Times New Roman" w:hAnsi="Times New Roman"/>
          <w:sz w:val="24"/>
          <w:szCs w:val="24"/>
        </w:rPr>
      </w:pPr>
    </w:p>
    <w:p w:rsidR="008249F7" w:rsidRDefault="004440F4" w:rsidP="008249F7">
      <w:pPr>
        <w:pStyle w:val="ListParagraph"/>
        <w:numPr>
          <w:ilvl w:val="1"/>
          <w:numId w:val="21"/>
        </w:numPr>
        <w:spacing w:line="240" w:lineRule="auto"/>
        <w:ind w:hanging="574"/>
        <w:rPr>
          <w:rFonts w:ascii="Times New Roman" w:hAnsi="Times New Roman"/>
          <w:sz w:val="24"/>
          <w:szCs w:val="24"/>
        </w:rPr>
      </w:pPr>
      <w:r w:rsidRPr="008249F7">
        <w:rPr>
          <w:rFonts w:ascii="Times New Roman" w:hAnsi="Times New Roman"/>
          <w:sz w:val="24"/>
          <w:szCs w:val="24"/>
        </w:rPr>
        <w:t>The position of unions under Part XX of the Electoral Act is extremely complex.  Unions are definitely not ‘registered politi</w:t>
      </w:r>
      <w:r w:rsidR="00A376D9">
        <w:rPr>
          <w:rFonts w:ascii="Times New Roman" w:hAnsi="Times New Roman"/>
          <w:sz w:val="24"/>
          <w:szCs w:val="24"/>
        </w:rPr>
        <w:t>cal parties’ and they are not ‘</w:t>
      </w:r>
      <w:r w:rsidRPr="008249F7">
        <w:rPr>
          <w:rFonts w:ascii="Times New Roman" w:hAnsi="Times New Roman"/>
          <w:sz w:val="24"/>
          <w:szCs w:val="24"/>
        </w:rPr>
        <w:t>prescribed persons’.</w:t>
      </w:r>
      <w:r w:rsidR="00DB468C">
        <w:rPr>
          <w:rStyle w:val="FootnoteReference"/>
          <w:rFonts w:ascii="Times New Roman" w:hAnsi="Times New Roman"/>
          <w:sz w:val="24"/>
          <w:szCs w:val="24"/>
        </w:rPr>
        <w:footnoteReference w:id="31"/>
      </w:r>
      <w:r w:rsidR="005B57A0">
        <w:rPr>
          <w:rFonts w:ascii="Times New Roman" w:hAnsi="Times New Roman"/>
          <w:sz w:val="24"/>
          <w:szCs w:val="24"/>
        </w:rPr>
        <w:t xml:space="preserve">  Thus, an individual union would only be captured by</w:t>
      </w:r>
      <w:r w:rsidRPr="008249F7">
        <w:rPr>
          <w:rFonts w:ascii="Times New Roman" w:hAnsi="Times New Roman"/>
          <w:sz w:val="24"/>
          <w:szCs w:val="24"/>
        </w:rPr>
        <w:t xml:space="preserve"> section 316(2A)</w:t>
      </w:r>
      <w:r w:rsidR="00F463A8">
        <w:rPr>
          <w:rFonts w:ascii="Times New Roman" w:hAnsi="Times New Roman"/>
          <w:sz w:val="24"/>
          <w:szCs w:val="24"/>
        </w:rPr>
        <w:t xml:space="preserve"> </w:t>
      </w:r>
      <w:r w:rsidR="005B57A0">
        <w:rPr>
          <w:rFonts w:ascii="Times New Roman" w:hAnsi="Times New Roman"/>
          <w:sz w:val="24"/>
          <w:szCs w:val="24"/>
        </w:rPr>
        <w:t>if it met</w:t>
      </w:r>
      <w:r w:rsidR="00F463A8">
        <w:rPr>
          <w:rFonts w:ascii="Times New Roman" w:hAnsi="Times New Roman"/>
          <w:sz w:val="24"/>
          <w:szCs w:val="24"/>
        </w:rPr>
        <w:t xml:space="preserve"> the</w:t>
      </w:r>
      <w:r w:rsidRPr="008249F7">
        <w:rPr>
          <w:rFonts w:ascii="Times New Roman" w:hAnsi="Times New Roman"/>
          <w:sz w:val="24"/>
          <w:szCs w:val="24"/>
        </w:rPr>
        <w:t xml:space="preserve"> ‘associated entities’</w:t>
      </w:r>
      <w:r w:rsidR="00F463A8">
        <w:rPr>
          <w:rFonts w:ascii="Times New Roman" w:hAnsi="Times New Roman"/>
          <w:sz w:val="24"/>
          <w:szCs w:val="24"/>
        </w:rPr>
        <w:t xml:space="preserve"> test.</w:t>
      </w:r>
    </w:p>
    <w:p w:rsidR="008249F7" w:rsidRPr="008249F7" w:rsidRDefault="008249F7" w:rsidP="008249F7">
      <w:pPr>
        <w:pStyle w:val="ListParagraph"/>
        <w:rPr>
          <w:rFonts w:ascii="Times New Roman" w:hAnsi="Times New Roman"/>
          <w:sz w:val="24"/>
          <w:szCs w:val="24"/>
        </w:rPr>
      </w:pPr>
    </w:p>
    <w:p w:rsidR="00574A0F" w:rsidRPr="008249F7" w:rsidRDefault="004440F4" w:rsidP="005B57A0">
      <w:pPr>
        <w:pStyle w:val="ListParagraph"/>
        <w:numPr>
          <w:ilvl w:val="1"/>
          <w:numId w:val="21"/>
        </w:numPr>
        <w:spacing w:line="240" w:lineRule="auto"/>
        <w:ind w:hanging="574"/>
        <w:rPr>
          <w:rFonts w:ascii="Times New Roman" w:hAnsi="Times New Roman"/>
          <w:sz w:val="24"/>
          <w:szCs w:val="24"/>
        </w:rPr>
      </w:pPr>
      <w:r w:rsidRPr="008249F7">
        <w:rPr>
          <w:rFonts w:ascii="Times New Roman" w:hAnsi="Times New Roman"/>
          <w:sz w:val="24"/>
          <w:szCs w:val="24"/>
        </w:rPr>
        <w:t>Section 287 provides that an associated entity is:</w:t>
      </w:r>
    </w:p>
    <w:p w:rsidR="00574A0F" w:rsidRPr="00574A0F" w:rsidRDefault="00574A0F" w:rsidP="00574A0F">
      <w:pPr>
        <w:pStyle w:val="ListParagraph"/>
        <w:rPr>
          <w:rFonts w:ascii="Times New Roman" w:hAnsi="Times New Roman"/>
          <w:sz w:val="24"/>
          <w:szCs w:val="24"/>
          <w:highlight w:val="yellow"/>
        </w:rPr>
      </w:pPr>
    </w:p>
    <w:p w:rsidR="00574A0F" w:rsidRPr="00574A0F" w:rsidRDefault="00574A0F" w:rsidP="00574A0F">
      <w:pPr>
        <w:pStyle w:val="ListParagraph"/>
        <w:numPr>
          <w:ilvl w:val="0"/>
          <w:numId w:val="30"/>
        </w:numPr>
        <w:spacing w:line="240" w:lineRule="auto"/>
        <w:rPr>
          <w:rFonts w:ascii="Times New Roman" w:hAnsi="Times New Roman"/>
          <w:sz w:val="24"/>
          <w:szCs w:val="24"/>
        </w:rPr>
      </w:pPr>
      <w:r w:rsidRPr="00574A0F">
        <w:rPr>
          <w:rFonts w:ascii="Times New Roman" w:hAnsi="Times New Roman"/>
          <w:sz w:val="24"/>
          <w:szCs w:val="24"/>
        </w:rPr>
        <w:t>An entity that is controlled by one or more registered political parties; or</w:t>
      </w:r>
    </w:p>
    <w:p w:rsidR="00574A0F" w:rsidRPr="00574A0F" w:rsidRDefault="00574A0F" w:rsidP="00574A0F">
      <w:pPr>
        <w:pStyle w:val="ListParagraph"/>
        <w:numPr>
          <w:ilvl w:val="0"/>
          <w:numId w:val="30"/>
        </w:numPr>
        <w:spacing w:line="240" w:lineRule="auto"/>
        <w:rPr>
          <w:rFonts w:ascii="Times New Roman" w:hAnsi="Times New Roman"/>
          <w:sz w:val="24"/>
          <w:szCs w:val="24"/>
        </w:rPr>
      </w:pPr>
      <w:r w:rsidRPr="00574A0F">
        <w:rPr>
          <w:rFonts w:ascii="Times New Roman" w:hAnsi="Times New Roman"/>
          <w:sz w:val="24"/>
          <w:szCs w:val="24"/>
        </w:rPr>
        <w:t>An entity that operates wholly, or to a significant extent, for the benefit of one or more registered political parties; or</w:t>
      </w:r>
    </w:p>
    <w:p w:rsidR="00574A0F" w:rsidRPr="00574A0F" w:rsidRDefault="00574A0F" w:rsidP="00574A0F">
      <w:pPr>
        <w:pStyle w:val="ListParagraph"/>
        <w:numPr>
          <w:ilvl w:val="0"/>
          <w:numId w:val="30"/>
        </w:numPr>
        <w:spacing w:line="240" w:lineRule="auto"/>
        <w:rPr>
          <w:rFonts w:ascii="Times New Roman" w:hAnsi="Times New Roman"/>
          <w:sz w:val="24"/>
          <w:szCs w:val="24"/>
        </w:rPr>
      </w:pPr>
      <w:r w:rsidRPr="00574A0F">
        <w:rPr>
          <w:rFonts w:ascii="Times New Roman" w:hAnsi="Times New Roman"/>
          <w:sz w:val="24"/>
          <w:szCs w:val="24"/>
        </w:rPr>
        <w:t>An entity that is a financial member of a registered political party; or</w:t>
      </w:r>
    </w:p>
    <w:p w:rsidR="00574A0F" w:rsidRPr="00574A0F" w:rsidRDefault="00574A0F" w:rsidP="00574A0F">
      <w:pPr>
        <w:pStyle w:val="ListParagraph"/>
        <w:numPr>
          <w:ilvl w:val="0"/>
          <w:numId w:val="30"/>
        </w:numPr>
        <w:spacing w:line="240" w:lineRule="auto"/>
        <w:rPr>
          <w:rFonts w:ascii="Times New Roman" w:hAnsi="Times New Roman"/>
          <w:sz w:val="24"/>
          <w:szCs w:val="24"/>
        </w:rPr>
      </w:pPr>
      <w:r w:rsidRPr="00574A0F">
        <w:rPr>
          <w:rFonts w:ascii="Times New Roman" w:hAnsi="Times New Roman"/>
          <w:sz w:val="24"/>
          <w:szCs w:val="24"/>
        </w:rPr>
        <w:t>An entity on whose behalf another person is a financial member of a registered political party; or</w:t>
      </w:r>
    </w:p>
    <w:p w:rsidR="00574A0F" w:rsidRPr="00574A0F" w:rsidRDefault="00574A0F" w:rsidP="00574A0F">
      <w:pPr>
        <w:pStyle w:val="ListParagraph"/>
        <w:numPr>
          <w:ilvl w:val="0"/>
          <w:numId w:val="30"/>
        </w:numPr>
        <w:spacing w:line="240" w:lineRule="auto"/>
        <w:rPr>
          <w:rFonts w:ascii="Times New Roman" w:hAnsi="Times New Roman"/>
          <w:sz w:val="24"/>
          <w:szCs w:val="24"/>
        </w:rPr>
      </w:pPr>
      <w:r w:rsidRPr="00574A0F">
        <w:rPr>
          <w:rFonts w:ascii="Times New Roman" w:hAnsi="Times New Roman"/>
          <w:sz w:val="24"/>
          <w:szCs w:val="24"/>
        </w:rPr>
        <w:t>An entity that has voting rights in a registered political party; or</w:t>
      </w:r>
    </w:p>
    <w:p w:rsidR="00574A0F" w:rsidRPr="00574A0F" w:rsidRDefault="00574A0F" w:rsidP="00574A0F">
      <w:pPr>
        <w:pStyle w:val="ListParagraph"/>
        <w:numPr>
          <w:ilvl w:val="0"/>
          <w:numId w:val="30"/>
        </w:numPr>
        <w:spacing w:line="240" w:lineRule="auto"/>
        <w:rPr>
          <w:rFonts w:ascii="Times New Roman" w:hAnsi="Times New Roman"/>
          <w:sz w:val="24"/>
          <w:szCs w:val="24"/>
        </w:rPr>
      </w:pPr>
      <w:r w:rsidRPr="00574A0F">
        <w:rPr>
          <w:rFonts w:ascii="Times New Roman" w:hAnsi="Times New Roman"/>
          <w:sz w:val="24"/>
          <w:szCs w:val="24"/>
        </w:rPr>
        <w:t>An entity on whose behalf another person has voting rights in a registered political party.</w:t>
      </w:r>
    </w:p>
    <w:p w:rsidR="00574A0F" w:rsidRPr="00574A0F" w:rsidRDefault="00574A0F" w:rsidP="00574A0F">
      <w:pPr>
        <w:pStyle w:val="ListParagraph"/>
        <w:rPr>
          <w:rFonts w:ascii="Times New Roman" w:hAnsi="Times New Roman"/>
          <w:sz w:val="24"/>
          <w:szCs w:val="24"/>
          <w:highlight w:val="yellow"/>
        </w:rPr>
      </w:pPr>
    </w:p>
    <w:p w:rsidR="008249F7" w:rsidRDefault="00574A0F" w:rsidP="008249F7">
      <w:pPr>
        <w:pStyle w:val="ListParagraph"/>
        <w:numPr>
          <w:ilvl w:val="1"/>
          <w:numId w:val="21"/>
        </w:numPr>
        <w:spacing w:line="240" w:lineRule="auto"/>
        <w:ind w:hanging="574"/>
        <w:rPr>
          <w:rFonts w:ascii="Times New Roman" w:hAnsi="Times New Roman"/>
          <w:sz w:val="24"/>
          <w:szCs w:val="24"/>
        </w:rPr>
      </w:pPr>
      <w:r w:rsidRPr="00574A0F">
        <w:rPr>
          <w:rFonts w:ascii="Times New Roman" w:hAnsi="Times New Roman"/>
          <w:sz w:val="24"/>
          <w:szCs w:val="24"/>
        </w:rPr>
        <w:t xml:space="preserve">Union structures are many and varied.  Some unions are associated entities of a major political party according to the definition of that term in section 287(1) of the Electoral Act and some are not.  </w:t>
      </w:r>
    </w:p>
    <w:p w:rsidR="008249F7" w:rsidRDefault="008249F7" w:rsidP="008249F7">
      <w:pPr>
        <w:pStyle w:val="ListParagraph"/>
        <w:spacing w:line="240" w:lineRule="auto"/>
        <w:ind w:left="574"/>
        <w:rPr>
          <w:rFonts w:ascii="Times New Roman" w:hAnsi="Times New Roman"/>
          <w:sz w:val="24"/>
          <w:szCs w:val="24"/>
        </w:rPr>
      </w:pPr>
    </w:p>
    <w:p w:rsidR="0039164C" w:rsidRPr="0039164C" w:rsidRDefault="004440F4" w:rsidP="0039164C">
      <w:pPr>
        <w:pStyle w:val="ListParagraph"/>
        <w:numPr>
          <w:ilvl w:val="1"/>
          <w:numId w:val="21"/>
        </w:numPr>
        <w:spacing w:line="240" w:lineRule="auto"/>
        <w:ind w:hanging="574"/>
        <w:rPr>
          <w:rFonts w:ascii="Times New Roman" w:hAnsi="Times New Roman"/>
          <w:sz w:val="24"/>
          <w:szCs w:val="24"/>
        </w:rPr>
      </w:pPr>
      <w:r w:rsidRPr="008249F7">
        <w:rPr>
          <w:rFonts w:ascii="Times New Roman" w:hAnsi="Times New Roman"/>
          <w:sz w:val="24"/>
          <w:szCs w:val="24"/>
        </w:rPr>
        <w:t xml:space="preserve">Many unions that are not associated entities as per section 287 make donations to a political party or incur political expenditure, meaning they have a disclosure obligation under Part XX of the Electoral Act as an annual donor to a political party or a third party incurring political expenditure, not </w:t>
      </w:r>
      <w:r w:rsidR="00F463A8">
        <w:rPr>
          <w:rFonts w:ascii="Times New Roman" w:hAnsi="Times New Roman"/>
          <w:sz w:val="24"/>
          <w:szCs w:val="24"/>
        </w:rPr>
        <w:t xml:space="preserve">as </w:t>
      </w:r>
      <w:r w:rsidRPr="008249F7">
        <w:rPr>
          <w:rFonts w:ascii="Times New Roman" w:hAnsi="Times New Roman"/>
          <w:sz w:val="24"/>
          <w:szCs w:val="24"/>
        </w:rPr>
        <w:t>an associated entity.  Donors to political parties and third parties are not subject to the Commission’s standard ‘compliance review’ power under section 316(2A).  They may only be issued with a notice under section 316(3) where the ‘reason</w:t>
      </w:r>
      <w:r w:rsidR="00F463A8">
        <w:rPr>
          <w:rFonts w:ascii="Times New Roman" w:hAnsi="Times New Roman"/>
          <w:sz w:val="24"/>
          <w:szCs w:val="24"/>
        </w:rPr>
        <w:t>able grounds’ requirement needs to be met as a pre-condition</w:t>
      </w:r>
      <w:r w:rsidRPr="008249F7">
        <w:rPr>
          <w:rFonts w:ascii="Times New Roman" w:hAnsi="Times New Roman"/>
          <w:sz w:val="24"/>
          <w:szCs w:val="24"/>
        </w:rPr>
        <w:t>.</w:t>
      </w:r>
    </w:p>
    <w:p w:rsidR="0039164C" w:rsidRPr="0039164C" w:rsidRDefault="0039164C" w:rsidP="0039164C">
      <w:pPr>
        <w:pStyle w:val="Heading2"/>
        <w:rPr>
          <w:rFonts w:ascii="Times New Roman" w:hAnsi="Times New Roman" w:cs="Times New Roman"/>
          <w:color w:val="auto"/>
        </w:rPr>
      </w:pPr>
      <w:r w:rsidRPr="0039164C">
        <w:rPr>
          <w:rFonts w:ascii="Times New Roman" w:hAnsi="Times New Roman" w:cs="Times New Roman"/>
          <w:color w:val="auto"/>
        </w:rPr>
        <w:lastRenderedPageBreak/>
        <w:t>Impact of legislative change on the FAD area</w:t>
      </w:r>
    </w:p>
    <w:p w:rsidR="004E54B7" w:rsidRPr="0039164C" w:rsidRDefault="001E3E7B" w:rsidP="0039164C">
      <w:pPr>
        <w:pStyle w:val="Heading2"/>
        <w:numPr>
          <w:ilvl w:val="1"/>
          <w:numId w:val="21"/>
        </w:numPr>
        <w:ind w:left="567" w:hanging="567"/>
        <w:rPr>
          <w:rFonts w:ascii="Times New Roman" w:hAnsi="Times New Roman" w:cs="Times New Roman"/>
          <w:b w:val="0"/>
          <w:color w:val="auto"/>
          <w:sz w:val="24"/>
          <w:szCs w:val="24"/>
        </w:rPr>
      </w:pPr>
      <w:r w:rsidRPr="0039164C">
        <w:rPr>
          <w:rFonts w:ascii="Times New Roman" w:hAnsi="Times New Roman" w:cs="Times New Roman"/>
          <w:b w:val="0"/>
          <w:color w:val="auto"/>
          <w:sz w:val="24"/>
          <w:szCs w:val="24"/>
        </w:rPr>
        <w:t xml:space="preserve">Legislative change involving the Electoral Act has typically arisen from the outcome of inquiries by </w:t>
      </w:r>
      <w:r w:rsidR="007C38A0" w:rsidRPr="0039164C">
        <w:rPr>
          <w:rFonts w:ascii="Times New Roman" w:hAnsi="Times New Roman" w:cs="Times New Roman"/>
          <w:b w:val="0"/>
          <w:color w:val="auto"/>
          <w:sz w:val="24"/>
          <w:szCs w:val="24"/>
        </w:rPr>
        <w:t>JSCEM</w:t>
      </w:r>
      <w:r w:rsidRPr="0039164C">
        <w:rPr>
          <w:rFonts w:ascii="Times New Roman" w:hAnsi="Times New Roman" w:cs="Times New Roman"/>
          <w:b w:val="0"/>
          <w:color w:val="auto"/>
          <w:sz w:val="24"/>
          <w:szCs w:val="24"/>
        </w:rPr>
        <w:t xml:space="preserve"> or as a result of initiatives within government. Following the change of government in 2007 there was a focus on electoral reform that involved the preparation of two Green Papers.  The first was entitled </w:t>
      </w:r>
      <w:r w:rsidRPr="0039164C">
        <w:rPr>
          <w:rFonts w:ascii="Times New Roman" w:hAnsi="Times New Roman" w:cs="Times New Roman"/>
          <w:b w:val="0"/>
          <w:i/>
          <w:color w:val="auto"/>
          <w:sz w:val="24"/>
          <w:szCs w:val="24"/>
        </w:rPr>
        <w:t>Electoral Reform Green Paper – Donations, Funding and Expenditure</w:t>
      </w:r>
      <w:r w:rsidRPr="0039164C">
        <w:rPr>
          <w:rFonts w:ascii="Times New Roman" w:hAnsi="Times New Roman" w:cs="Times New Roman"/>
          <w:b w:val="0"/>
          <w:color w:val="auto"/>
          <w:sz w:val="24"/>
          <w:szCs w:val="24"/>
        </w:rPr>
        <w:t xml:space="preserve">, the second was </w:t>
      </w:r>
      <w:r w:rsidRPr="0039164C">
        <w:rPr>
          <w:rFonts w:ascii="Times New Roman" w:hAnsi="Times New Roman" w:cs="Times New Roman"/>
          <w:b w:val="0"/>
          <w:i/>
          <w:color w:val="auto"/>
          <w:sz w:val="24"/>
          <w:szCs w:val="24"/>
        </w:rPr>
        <w:t>Electoral Reform Green Paper - Strengthening Australia’s Democracy</w:t>
      </w:r>
      <w:r w:rsidR="00E9070F" w:rsidRPr="0039164C">
        <w:rPr>
          <w:rFonts w:ascii="Times New Roman" w:hAnsi="Times New Roman" w:cs="Times New Roman"/>
          <w:b w:val="0"/>
          <w:color w:val="auto"/>
          <w:sz w:val="24"/>
          <w:szCs w:val="24"/>
        </w:rPr>
        <w:t>.</w:t>
      </w:r>
    </w:p>
    <w:p w:rsidR="00F975DA" w:rsidRPr="00E03FA9" w:rsidRDefault="002F5EE1"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66" w:name="_Toc339540897"/>
      <w:r w:rsidRPr="00775444">
        <w:rPr>
          <w:rFonts w:ascii="Times New Roman" w:hAnsi="Times New Roman" w:cs="Times New Roman"/>
          <w:b w:val="0"/>
          <w:color w:val="000000" w:themeColor="text1"/>
          <w:sz w:val="24"/>
          <w:szCs w:val="24"/>
        </w:rPr>
        <w:t>The management of major changes to electoral legislation is generally coordinated by an Electoral Reform Taskforce (ERT) which comprises representatives of the Department of the Prime Minister and Cabinet (PM&amp;C), the Department of Finance and Deregulation (Finance) and the Commission.</w:t>
      </w:r>
      <w:bookmarkEnd w:id="66"/>
      <w:r w:rsidRPr="00775444">
        <w:rPr>
          <w:rFonts w:ascii="Times New Roman" w:hAnsi="Times New Roman" w:cs="Times New Roman"/>
          <w:b w:val="0"/>
          <w:color w:val="000000" w:themeColor="text1"/>
          <w:sz w:val="24"/>
          <w:szCs w:val="24"/>
        </w:rPr>
        <w:t xml:space="preserve"> </w:t>
      </w:r>
    </w:p>
    <w:p w:rsidR="00F975DA" w:rsidRPr="00E03FA9" w:rsidRDefault="004234CA" w:rsidP="00F975DA">
      <w:pPr>
        <w:pStyle w:val="Heading2"/>
        <w:numPr>
          <w:ilvl w:val="1"/>
          <w:numId w:val="21"/>
        </w:numPr>
        <w:ind w:left="567" w:hanging="567"/>
        <w:rPr>
          <w:rFonts w:ascii="Times New Roman" w:hAnsi="Times New Roman" w:cs="Times New Roman"/>
          <w:b w:val="0"/>
          <w:bCs w:val="0"/>
          <w:color w:val="000000" w:themeColor="text1"/>
          <w:sz w:val="24"/>
          <w:szCs w:val="24"/>
        </w:rPr>
      </w:pPr>
      <w:bookmarkStart w:id="67" w:name="_Toc339540898"/>
      <w:r w:rsidRPr="00775444">
        <w:rPr>
          <w:rFonts w:ascii="Times New Roman" w:hAnsi="Times New Roman" w:cs="Times New Roman"/>
          <w:b w:val="0"/>
          <w:bCs w:val="0"/>
          <w:color w:val="000000" w:themeColor="text1"/>
          <w:sz w:val="24"/>
          <w:szCs w:val="24"/>
        </w:rPr>
        <w:t>The development of t</w:t>
      </w:r>
      <w:r w:rsidRPr="00775444">
        <w:rPr>
          <w:rFonts w:ascii="Times New Roman" w:hAnsi="Times New Roman" w:cs="Times New Roman"/>
          <w:b w:val="0"/>
          <w:color w:val="000000" w:themeColor="text1"/>
          <w:sz w:val="24"/>
          <w:szCs w:val="24"/>
        </w:rPr>
        <w:t xml:space="preserve">he </w:t>
      </w:r>
      <w:r w:rsidRPr="00775444">
        <w:rPr>
          <w:rFonts w:ascii="Times New Roman" w:hAnsi="Times New Roman" w:cs="Times New Roman"/>
          <w:b w:val="0"/>
          <w:bCs w:val="0"/>
          <w:color w:val="000000" w:themeColor="text1"/>
          <w:sz w:val="24"/>
          <w:szCs w:val="24"/>
        </w:rPr>
        <w:t>Donations, Funding and Expenditure Green Paper was a collaborative affair primarily between PM&amp;C and the Commission. This required the section head of the compliance area to be taken off-line for around four months in 2008 to work full time on the Green Paper.  Because of the specialist nature of much of the work in FAD, particularly in the compliance area, temporary backfilling has normally not been possible.</w:t>
      </w:r>
      <w:bookmarkEnd w:id="67"/>
    </w:p>
    <w:p w:rsidR="00F975DA" w:rsidRPr="00A80C71" w:rsidRDefault="004234CA" w:rsidP="00F975DA">
      <w:pPr>
        <w:pStyle w:val="Heading2"/>
        <w:numPr>
          <w:ilvl w:val="1"/>
          <w:numId w:val="21"/>
        </w:numPr>
        <w:ind w:left="567" w:hanging="567"/>
        <w:rPr>
          <w:rFonts w:ascii="Times New Roman" w:hAnsi="Times New Roman" w:cs="Times New Roman"/>
          <w:b w:val="0"/>
          <w:bCs w:val="0"/>
          <w:color w:val="000000" w:themeColor="text1"/>
          <w:sz w:val="24"/>
          <w:szCs w:val="24"/>
        </w:rPr>
      </w:pPr>
      <w:bookmarkStart w:id="68" w:name="_Toc339540899"/>
      <w:r w:rsidRPr="00775444">
        <w:rPr>
          <w:rFonts w:ascii="Times New Roman" w:hAnsi="Times New Roman" w:cs="Times New Roman"/>
          <w:b w:val="0"/>
          <w:bCs w:val="0"/>
          <w:color w:val="000000" w:themeColor="text1"/>
          <w:sz w:val="24"/>
          <w:szCs w:val="24"/>
        </w:rPr>
        <w:t xml:space="preserve">After the Green Paper was released in late 2008 considerable work was still required by FAD staff in assessing submissions received and in discussions involving the Minister’s Office about the possible production of a White Paper and/or the development of a Bill. FAD was required to prepare extensive </w:t>
      </w:r>
      <w:r w:rsidR="005C7A5C">
        <w:rPr>
          <w:rFonts w:ascii="Times New Roman" w:hAnsi="Times New Roman" w:cs="Times New Roman"/>
          <w:b w:val="0"/>
          <w:bCs w:val="0"/>
          <w:color w:val="000000" w:themeColor="text1"/>
          <w:sz w:val="24"/>
          <w:szCs w:val="24"/>
        </w:rPr>
        <w:t>material to assist this process</w:t>
      </w:r>
      <w:r w:rsidRPr="00775444">
        <w:rPr>
          <w:rFonts w:ascii="Times New Roman" w:hAnsi="Times New Roman" w:cs="Times New Roman"/>
          <w:b w:val="0"/>
          <w:bCs w:val="0"/>
          <w:color w:val="000000" w:themeColor="text1"/>
          <w:sz w:val="24"/>
          <w:szCs w:val="24"/>
        </w:rPr>
        <w:t xml:space="preserve">, including </w:t>
      </w:r>
      <w:r w:rsidR="00150284" w:rsidRPr="00775444">
        <w:rPr>
          <w:rFonts w:ascii="Times New Roman" w:hAnsi="Times New Roman" w:cs="Times New Roman"/>
          <w:b w:val="0"/>
          <w:bCs w:val="0"/>
          <w:color w:val="000000" w:themeColor="text1"/>
          <w:sz w:val="24"/>
          <w:szCs w:val="24"/>
        </w:rPr>
        <w:t>modelling</w:t>
      </w:r>
      <w:r w:rsidRPr="00775444">
        <w:rPr>
          <w:rFonts w:ascii="Times New Roman" w:hAnsi="Times New Roman" w:cs="Times New Roman"/>
          <w:b w:val="0"/>
          <w:bCs w:val="0"/>
          <w:color w:val="000000" w:themeColor="text1"/>
          <w:sz w:val="24"/>
          <w:szCs w:val="24"/>
        </w:rPr>
        <w:t xml:space="preserve"> the impact of possible initiatives in tandem with the Green Paper which was canvassing wider, fundamental reform of the funding and disclosure schemes operated under Part XX of the Electoral Act.</w:t>
      </w:r>
      <w:bookmarkEnd w:id="68"/>
      <w:r w:rsidRPr="00775444">
        <w:rPr>
          <w:rFonts w:ascii="Times New Roman" w:hAnsi="Times New Roman" w:cs="Times New Roman"/>
          <w:b w:val="0"/>
          <w:bCs w:val="0"/>
          <w:color w:val="000000" w:themeColor="text1"/>
          <w:sz w:val="24"/>
          <w:szCs w:val="24"/>
        </w:rPr>
        <w:t xml:space="preserve">  </w:t>
      </w:r>
    </w:p>
    <w:p w:rsidR="00960548" w:rsidRPr="00B94F23" w:rsidRDefault="00B7403B" w:rsidP="00960548">
      <w:pPr>
        <w:pStyle w:val="Heading2"/>
        <w:numPr>
          <w:ilvl w:val="1"/>
          <w:numId w:val="21"/>
        </w:numPr>
        <w:ind w:left="567" w:hanging="567"/>
        <w:rPr>
          <w:rFonts w:ascii="Times New Roman" w:hAnsi="Times New Roman" w:cs="Times New Roman"/>
          <w:b w:val="0"/>
          <w:bCs w:val="0"/>
          <w:color w:val="000000" w:themeColor="text1"/>
          <w:sz w:val="24"/>
          <w:szCs w:val="24"/>
        </w:rPr>
      </w:pPr>
      <w:bookmarkStart w:id="69" w:name="_Toc339540900"/>
      <w:r w:rsidRPr="00775444">
        <w:rPr>
          <w:rFonts w:ascii="Times New Roman" w:hAnsi="Times New Roman" w:cs="Times New Roman"/>
          <w:b w:val="0"/>
          <w:bCs w:val="0"/>
          <w:color w:val="000000" w:themeColor="text1"/>
          <w:sz w:val="24"/>
          <w:szCs w:val="24"/>
        </w:rPr>
        <w:t>T</w:t>
      </w:r>
      <w:r w:rsidR="001E3E7B" w:rsidRPr="00775444">
        <w:rPr>
          <w:rFonts w:ascii="Times New Roman" w:hAnsi="Times New Roman" w:cs="Times New Roman"/>
          <w:b w:val="0"/>
          <w:bCs w:val="0"/>
          <w:color w:val="000000" w:themeColor="text1"/>
          <w:sz w:val="24"/>
          <w:szCs w:val="24"/>
        </w:rPr>
        <w:t xml:space="preserve">he Commonwealth Electoral Amendment (Political Donations and Other Measures) Bill 2008 (the 2008 Bill) was introduced to Parliament to implement priority measures identified by the Government. Drafting instructions for this Bill were undertaken by FAD staff with the Legal Services Branch. FAD staff prepared detailed costings and, in conjunction with the </w:t>
      </w:r>
      <w:r w:rsidR="00495542" w:rsidRPr="00775444">
        <w:rPr>
          <w:rFonts w:ascii="Times New Roman" w:hAnsi="Times New Roman" w:cs="Times New Roman"/>
          <w:b w:val="0"/>
          <w:bCs w:val="0"/>
          <w:color w:val="000000" w:themeColor="text1"/>
          <w:sz w:val="24"/>
          <w:szCs w:val="24"/>
        </w:rPr>
        <w:t>Commission</w:t>
      </w:r>
      <w:r w:rsidR="001E3E7B" w:rsidRPr="00775444">
        <w:rPr>
          <w:rFonts w:ascii="Times New Roman" w:hAnsi="Times New Roman" w:cs="Times New Roman"/>
          <w:b w:val="0"/>
          <w:bCs w:val="0"/>
          <w:color w:val="000000" w:themeColor="text1"/>
          <w:sz w:val="24"/>
          <w:szCs w:val="24"/>
        </w:rPr>
        <w:t>’s finance section, conducted negotiations with the Department of Finance and Deregulation. Following the introduction of the Bill into Parliament, FAD staff were involved in a number of briefings, including to the crossbenches, and assisted in the development of Government amendments.</w:t>
      </w:r>
      <w:bookmarkEnd w:id="69"/>
      <w:r w:rsidR="001E3E7B" w:rsidRPr="00775444">
        <w:rPr>
          <w:rFonts w:ascii="Times New Roman" w:hAnsi="Times New Roman" w:cs="Times New Roman"/>
          <w:b w:val="0"/>
          <w:bCs w:val="0"/>
          <w:color w:val="000000" w:themeColor="text1"/>
          <w:sz w:val="24"/>
          <w:szCs w:val="24"/>
        </w:rPr>
        <w:t xml:space="preserve"> </w:t>
      </w:r>
    </w:p>
    <w:p w:rsidR="00B94F23" w:rsidRDefault="001E3E7B" w:rsidP="00960548">
      <w:pPr>
        <w:pStyle w:val="Heading2"/>
        <w:numPr>
          <w:ilvl w:val="1"/>
          <w:numId w:val="21"/>
        </w:numPr>
        <w:ind w:left="567" w:hanging="567"/>
        <w:rPr>
          <w:rFonts w:ascii="Times New Roman" w:hAnsi="Times New Roman" w:cs="Times New Roman"/>
          <w:b w:val="0"/>
          <w:bCs w:val="0"/>
          <w:color w:val="000000" w:themeColor="text1"/>
          <w:sz w:val="24"/>
          <w:szCs w:val="24"/>
        </w:rPr>
      </w:pPr>
      <w:bookmarkStart w:id="70" w:name="_Toc339540901"/>
      <w:r w:rsidRPr="00775444">
        <w:rPr>
          <w:rFonts w:ascii="Times New Roman" w:hAnsi="Times New Roman" w:cs="Times New Roman"/>
          <w:b w:val="0"/>
          <w:bCs w:val="0"/>
          <w:color w:val="000000" w:themeColor="text1"/>
          <w:sz w:val="24"/>
          <w:szCs w:val="24"/>
        </w:rPr>
        <w:t xml:space="preserve">As was mentioned earlier, </w:t>
      </w:r>
      <w:r w:rsidR="00166DD3" w:rsidRPr="00775444">
        <w:rPr>
          <w:rFonts w:ascii="Times New Roman" w:hAnsi="Times New Roman" w:cs="Times New Roman"/>
          <w:b w:val="0"/>
          <w:bCs w:val="0"/>
          <w:color w:val="000000" w:themeColor="text1"/>
          <w:sz w:val="24"/>
          <w:szCs w:val="24"/>
        </w:rPr>
        <w:t xml:space="preserve">following </w:t>
      </w:r>
      <w:r w:rsidRPr="00775444">
        <w:rPr>
          <w:rFonts w:ascii="Times New Roman" w:hAnsi="Times New Roman" w:cs="Times New Roman"/>
          <w:b w:val="0"/>
          <w:bCs w:val="0"/>
          <w:color w:val="000000" w:themeColor="text1"/>
          <w:sz w:val="24"/>
          <w:szCs w:val="24"/>
        </w:rPr>
        <w:t xml:space="preserve">the defeat of the 2008 Bill a new Commonwealth Electoral Amendment (Political Donations and Other Measures) Bill 2009 (the 2009 Bill), which was primarily the 2008 Bill consolidating the proposed Government amendments, was introduced to Parliament. </w:t>
      </w:r>
    </w:p>
    <w:p w:rsidR="00B94F23" w:rsidRPr="00B94F23" w:rsidRDefault="00B94F23" w:rsidP="00B94F23"/>
    <w:p w:rsidR="00960548" w:rsidRPr="00960548" w:rsidRDefault="001E3E7B" w:rsidP="00960548">
      <w:pPr>
        <w:pStyle w:val="Heading2"/>
        <w:numPr>
          <w:ilvl w:val="1"/>
          <w:numId w:val="21"/>
        </w:numPr>
        <w:ind w:left="567" w:hanging="567"/>
        <w:rPr>
          <w:rFonts w:ascii="Times New Roman" w:hAnsi="Times New Roman" w:cs="Times New Roman"/>
          <w:b w:val="0"/>
          <w:bCs w:val="0"/>
          <w:color w:val="000000" w:themeColor="text1"/>
          <w:sz w:val="24"/>
          <w:szCs w:val="24"/>
        </w:rPr>
      </w:pPr>
      <w:r w:rsidRPr="00775444">
        <w:rPr>
          <w:rFonts w:ascii="Times New Roman" w:hAnsi="Times New Roman" w:cs="Times New Roman"/>
          <w:b w:val="0"/>
          <w:bCs w:val="0"/>
          <w:color w:val="000000" w:themeColor="text1"/>
          <w:sz w:val="24"/>
          <w:szCs w:val="24"/>
        </w:rPr>
        <w:lastRenderedPageBreak/>
        <w:t>This 2009 Bill also did not pass into legislation and was reintroduced into the current Parliament as the Commonwealth Electoral Amendment (Political Donations and Other Measures) Bill 2010. It lays idle awaiting consideration by the Senate having passed through the House of Representatives in November 2010</w:t>
      </w:r>
      <w:r w:rsidR="00B7403B" w:rsidRPr="00775444">
        <w:rPr>
          <w:rFonts w:ascii="Times New Roman" w:hAnsi="Times New Roman" w:cs="Times New Roman"/>
          <w:b w:val="0"/>
          <w:bCs w:val="0"/>
          <w:color w:val="000000" w:themeColor="text1"/>
          <w:sz w:val="24"/>
          <w:szCs w:val="24"/>
        </w:rPr>
        <w:t>.</w:t>
      </w:r>
      <w:bookmarkEnd w:id="70"/>
    </w:p>
    <w:p w:rsidR="00F975DA" w:rsidRPr="00E03FA9" w:rsidRDefault="001E3E7B" w:rsidP="00F975DA">
      <w:pPr>
        <w:pStyle w:val="Heading2"/>
        <w:numPr>
          <w:ilvl w:val="1"/>
          <w:numId w:val="21"/>
        </w:numPr>
        <w:ind w:left="567" w:hanging="567"/>
        <w:rPr>
          <w:rFonts w:ascii="Times New Roman" w:hAnsi="Times New Roman" w:cs="Times New Roman"/>
          <w:b w:val="0"/>
          <w:bCs w:val="0"/>
          <w:color w:val="000000" w:themeColor="text1"/>
          <w:sz w:val="24"/>
          <w:szCs w:val="24"/>
        </w:rPr>
      </w:pPr>
      <w:bookmarkStart w:id="71" w:name="_Toc339540902"/>
      <w:r w:rsidRPr="00775444">
        <w:rPr>
          <w:rFonts w:ascii="Times New Roman" w:hAnsi="Times New Roman" w:cs="Times New Roman"/>
          <w:b w:val="0"/>
          <w:bCs w:val="0"/>
          <w:color w:val="000000" w:themeColor="text1"/>
          <w:sz w:val="24"/>
          <w:szCs w:val="24"/>
        </w:rPr>
        <w:t>Overlaying this legislative activity the JSCEM conducted an inquiry into the 2008 Bill. It then conducted a round table o</w:t>
      </w:r>
      <w:r w:rsidR="00124116" w:rsidRPr="00775444">
        <w:rPr>
          <w:rFonts w:ascii="Times New Roman" w:hAnsi="Times New Roman" w:cs="Times New Roman"/>
          <w:b w:val="0"/>
          <w:bCs w:val="0"/>
          <w:color w:val="000000" w:themeColor="text1"/>
          <w:sz w:val="24"/>
          <w:szCs w:val="24"/>
        </w:rPr>
        <w:t>n the Green Paper in 2009.  I</w:t>
      </w:r>
      <w:r w:rsidRPr="00775444">
        <w:rPr>
          <w:rFonts w:ascii="Times New Roman" w:hAnsi="Times New Roman" w:cs="Times New Roman"/>
          <w:b w:val="0"/>
          <w:bCs w:val="0"/>
          <w:color w:val="000000" w:themeColor="text1"/>
          <w:sz w:val="24"/>
          <w:szCs w:val="24"/>
        </w:rPr>
        <w:t xml:space="preserve">n 2011 it held its </w:t>
      </w:r>
      <w:r w:rsidRPr="00775444">
        <w:rPr>
          <w:rFonts w:ascii="Times New Roman" w:hAnsi="Times New Roman" w:cs="Times New Roman"/>
          <w:b w:val="0"/>
          <w:bCs w:val="0"/>
          <w:i/>
          <w:color w:val="000000" w:themeColor="text1"/>
          <w:sz w:val="24"/>
          <w:szCs w:val="24"/>
        </w:rPr>
        <w:t>Inquiry into the Funding of Political Parties and Election Campaigns</w:t>
      </w:r>
      <w:r w:rsidRPr="00775444">
        <w:rPr>
          <w:rFonts w:ascii="Times New Roman" w:hAnsi="Times New Roman" w:cs="Times New Roman"/>
          <w:b w:val="0"/>
          <w:bCs w:val="0"/>
          <w:color w:val="000000" w:themeColor="text1"/>
          <w:sz w:val="24"/>
          <w:szCs w:val="24"/>
        </w:rPr>
        <w:t xml:space="preserve"> that included the Green paper in its terms of reference. These inquiries required the involvement of FAD staff in preparing submissions and appearing before the Committee.</w:t>
      </w:r>
      <w:bookmarkEnd w:id="71"/>
    </w:p>
    <w:p w:rsidR="00F975DA" w:rsidRPr="00E03FA9" w:rsidRDefault="001E3E7B" w:rsidP="00F975DA">
      <w:pPr>
        <w:pStyle w:val="Heading2"/>
        <w:numPr>
          <w:ilvl w:val="1"/>
          <w:numId w:val="21"/>
        </w:numPr>
        <w:ind w:left="567" w:hanging="567"/>
        <w:rPr>
          <w:rFonts w:ascii="Times New Roman" w:hAnsi="Times New Roman" w:cs="Times New Roman"/>
          <w:b w:val="0"/>
          <w:bCs w:val="0"/>
          <w:color w:val="000000" w:themeColor="text1"/>
          <w:sz w:val="24"/>
          <w:szCs w:val="24"/>
        </w:rPr>
      </w:pPr>
      <w:bookmarkStart w:id="72" w:name="_Toc339540903"/>
      <w:r w:rsidRPr="00775444">
        <w:rPr>
          <w:rFonts w:ascii="Times New Roman" w:hAnsi="Times New Roman" w:cs="Times New Roman"/>
          <w:b w:val="0"/>
          <w:bCs w:val="0"/>
          <w:color w:val="000000" w:themeColor="text1"/>
          <w:sz w:val="24"/>
          <w:szCs w:val="24"/>
        </w:rPr>
        <w:t xml:space="preserve">Outside the FAD area the Electoral Policy and Reform section that was relatively recently created in the Strategic Capability Branch, takes on the Joint Committee and longer term future reform work associated with the core electoral related  business of the Commission. This group works with the Legal Services section where a close relationship </w:t>
      </w:r>
      <w:r w:rsidR="00166DD3" w:rsidRPr="00775444">
        <w:rPr>
          <w:rFonts w:ascii="Times New Roman" w:hAnsi="Times New Roman" w:cs="Times New Roman"/>
          <w:b w:val="0"/>
          <w:bCs w:val="0"/>
          <w:color w:val="000000" w:themeColor="text1"/>
          <w:sz w:val="24"/>
          <w:szCs w:val="24"/>
        </w:rPr>
        <w:t>has been</w:t>
      </w:r>
      <w:r w:rsidRPr="00775444">
        <w:rPr>
          <w:rFonts w:ascii="Times New Roman" w:hAnsi="Times New Roman" w:cs="Times New Roman"/>
          <w:b w:val="0"/>
          <w:bCs w:val="0"/>
          <w:color w:val="000000" w:themeColor="text1"/>
          <w:sz w:val="24"/>
          <w:szCs w:val="24"/>
        </w:rPr>
        <w:t xml:space="preserve"> forged due to the recognition that aspects of policy/legislation work need to be worked up in tandem to achieve the best result.</w:t>
      </w:r>
      <w:bookmarkEnd w:id="72"/>
    </w:p>
    <w:p w:rsidR="00F975DA" w:rsidRPr="0096777D" w:rsidRDefault="001E3E7B" w:rsidP="00F975DA">
      <w:pPr>
        <w:pStyle w:val="Heading2"/>
        <w:numPr>
          <w:ilvl w:val="1"/>
          <w:numId w:val="21"/>
        </w:numPr>
        <w:ind w:left="567" w:hanging="567"/>
        <w:rPr>
          <w:rFonts w:ascii="Times New Roman" w:hAnsi="Times New Roman" w:cs="Times New Roman"/>
          <w:b w:val="0"/>
          <w:bCs w:val="0"/>
          <w:color w:val="000000" w:themeColor="text1"/>
          <w:sz w:val="24"/>
          <w:szCs w:val="24"/>
        </w:rPr>
      </w:pPr>
      <w:bookmarkStart w:id="73" w:name="_Toc339540904"/>
      <w:r w:rsidRPr="00775444">
        <w:rPr>
          <w:rFonts w:ascii="Times New Roman" w:hAnsi="Times New Roman" w:cs="Times New Roman"/>
          <w:b w:val="0"/>
          <w:bCs w:val="0"/>
          <w:color w:val="000000" w:themeColor="text1"/>
          <w:sz w:val="24"/>
          <w:szCs w:val="24"/>
        </w:rPr>
        <w:t xml:space="preserve">Traditionally, because of the limited understanding of FAD legislation and issues elsewhere in the Commission, FAD staff have had the burden of having to prepare their own reports (e.g. those required under section 17 of the Electoral Act), submissions to and appearances before the Joint Parliamentary Committee and Senate Estimates hearings, preparation of drafting instructions, ministerial briefings </w:t>
      </w:r>
      <w:r w:rsidR="00495542" w:rsidRPr="00775444">
        <w:rPr>
          <w:rFonts w:ascii="Times New Roman" w:hAnsi="Times New Roman" w:cs="Times New Roman"/>
          <w:b w:val="0"/>
          <w:bCs w:val="0"/>
          <w:color w:val="000000" w:themeColor="text1"/>
          <w:sz w:val="24"/>
          <w:szCs w:val="24"/>
        </w:rPr>
        <w:t>and a range of other detailed papers</w:t>
      </w:r>
      <w:r w:rsidRPr="00775444">
        <w:rPr>
          <w:rFonts w:ascii="Times New Roman" w:hAnsi="Times New Roman" w:cs="Times New Roman"/>
          <w:b w:val="0"/>
          <w:bCs w:val="0"/>
          <w:color w:val="000000" w:themeColor="text1"/>
          <w:sz w:val="24"/>
          <w:szCs w:val="24"/>
        </w:rPr>
        <w:t xml:space="preserve"> on top of their everyday work.  This has occurred to a far greater extent than it has in relation to other subject matter areas</w:t>
      </w:r>
      <w:r w:rsidR="00495542" w:rsidRPr="00775444">
        <w:rPr>
          <w:rFonts w:ascii="Times New Roman" w:hAnsi="Times New Roman" w:cs="Times New Roman"/>
          <w:b w:val="0"/>
          <w:bCs w:val="0"/>
          <w:color w:val="000000" w:themeColor="text1"/>
          <w:sz w:val="24"/>
          <w:szCs w:val="24"/>
        </w:rPr>
        <w:t xml:space="preserve"> within the Commission</w:t>
      </w:r>
      <w:r w:rsidRPr="00775444">
        <w:rPr>
          <w:rFonts w:ascii="Times New Roman" w:hAnsi="Times New Roman" w:cs="Times New Roman"/>
          <w:b w:val="0"/>
          <w:bCs w:val="0"/>
          <w:color w:val="000000" w:themeColor="text1"/>
          <w:sz w:val="24"/>
          <w:szCs w:val="24"/>
        </w:rPr>
        <w:t>.</w:t>
      </w:r>
      <w:bookmarkEnd w:id="73"/>
      <w:r w:rsidRPr="00775444">
        <w:rPr>
          <w:rFonts w:ascii="Times New Roman" w:hAnsi="Times New Roman" w:cs="Times New Roman"/>
          <w:b w:val="0"/>
          <w:bCs w:val="0"/>
          <w:color w:val="000000" w:themeColor="text1"/>
          <w:sz w:val="24"/>
          <w:szCs w:val="24"/>
        </w:rPr>
        <w:t xml:space="preserve"> </w:t>
      </w:r>
    </w:p>
    <w:p w:rsidR="001E3E7B" w:rsidRPr="00775444" w:rsidRDefault="001E3E7B" w:rsidP="00775444">
      <w:pPr>
        <w:pStyle w:val="Heading2"/>
        <w:numPr>
          <w:ilvl w:val="1"/>
          <w:numId w:val="21"/>
        </w:numPr>
        <w:ind w:left="567" w:hanging="567"/>
        <w:rPr>
          <w:rFonts w:ascii="Times New Roman" w:hAnsi="Times New Roman" w:cs="Times New Roman"/>
          <w:b w:val="0"/>
          <w:bCs w:val="0"/>
          <w:color w:val="000000" w:themeColor="text1"/>
          <w:sz w:val="24"/>
          <w:szCs w:val="24"/>
        </w:rPr>
      </w:pPr>
      <w:bookmarkStart w:id="74" w:name="_Toc339540905"/>
      <w:r w:rsidRPr="00775444">
        <w:rPr>
          <w:rFonts w:ascii="Times New Roman" w:hAnsi="Times New Roman" w:cs="Times New Roman"/>
          <w:b w:val="0"/>
          <w:bCs w:val="0"/>
          <w:color w:val="000000" w:themeColor="text1"/>
          <w:sz w:val="24"/>
          <w:szCs w:val="24"/>
        </w:rPr>
        <w:t>The latest example has been the</w:t>
      </w:r>
      <w:r w:rsidR="00495542" w:rsidRPr="00775444">
        <w:rPr>
          <w:rFonts w:ascii="Times New Roman" w:hAnsi="Times New Roman" w:cs="Times New Roman"/>
          <w:b w:val="0"/>
          <w:bCs w:val="0"/>
          <w:color w:val="000000" w:themeColor="text1"/>
          <w:sz w:val="24"/>
          <w:szCs w:val="24"/>
        </w:rPr>
        <w:t xml:space="preserve"> recent JSCEM inquiry into the Commission</w:t>
      </w:r>
      <w:r w:rsidRPr="00775444">
        <w:rPr>
          <w:rFonts w:ascii="Times New Roman" w:hAnsi="Times New Roman" w:cs="Times New Roman"/>
          <w:b w:val="0"/>
          <w:bCs w:val="0"/>
          <w:color w:val="000000" w:themeColor="text1"/>
          <w:sz w:val="24"/>
          <w:szCs w:val="24"/>
        </w:rPr>
        <w:t>’s analysis of the Fair Work Australia report on the Health Services Union.  This inquiry drew heavily on the Chief Legal Officer supported by the section head of the compliance section. It was a sensitive inquiry that raised some complex issues concerning the nature of the Commission’s past performance of its compliance responsibilities and the interpretation of the legislation relating to associated entities.</w:t>
      </w:r>
      <w:bookmarkEnd w:id="74"/>
      <w:r w:rsidRPr="00775444">
        <w:rPr>
          <w:rFonts w:ascii="Times New Roman" w:hAnsi="Times New Roman" w:cs="Times New Roman"/>
          <w:b w:val="0"/>
          <w:bCs w:val="0"/>
          <w:color w:val="000000" w:themeColor="text1"/>
          <w:sz w:val="24"/>
          <w:szCs w:val="24"/>
        </w:rPr>
        <w:t xml:space="preserve"> </w:t>
      </w:r>
    </w:p>
    <w:p w:rsidR="00F66850" w:rsidRDefault="001E3E7B" w:rsidP="00100676">
      <w:pPr>
        <w:pStyle w:val="Heading2"/>
        <w:numPr>
          <w:ilvl w:val="1"/>
          <w:numId w:val="21"/>
        </w:numPr>
        <w:ind w:left="567" w:hanging="567"/>
        <w:rPr>
          <w:rFonts w:ascii="Times New Roman" w:hAnsi="Times New Roman" w:cs="Times New Roman"/>
          <w:b w:val="0"/>
          <w:bCs w:val="0"/>
          <w:color w:val="000000" w:themeColor="text1"/>
          <w:sz w:val="24"/>
          <w:szCs w:val="24"/>
        </w:rPr>
      </w:pPr>
      <w:bookmarkStart w:id="75" w:name="_Toc339540906"/>
      <w:r w:rsidRPr="00775444">
        <w:rPr>
          <w:rFonts w:ascii="Times New Roman" w:hAnsi="Times New Roman" w:cs="Times New Roman"/>
          <w:b w:val="0"/>
          <w:bCs w:val="0"/>
          <w:color w:val="000000" w:themeColor="text1"/>
          <w:sz w:val="24"/>
          <w:szCs w:val="24"/>
        </w:rPr>
        <w:t>This background is provided to illustrate the significant extent to which senior resources of the compliance group have often had to be diverted to policy development tasks.  Inevitably this has had an impact on the time available for oversight of their ongoing responsibilities.</w:t>
      </w:r>
      <w:bookmarkEnd w:id="75"/>
    </w:p>
    <w:p w:rsidR="0096777D" w:rsidRDefault="0096777D" w:rsidP="0096777D"/>
    <w:p w:rsidR="0096777D" w:rsidRDefault="0096777D" w:rsidP="0096777D"/>
    <w:p w:rsidR="0039164C" w:rsidRDefault="0039164C" w:rsidP="0096777D"/>
    <w:p w:rsidR="0039164C" w:rsidRPr="0039164C" w:rsidRDefault="0039164C" w:rsidP="0039164C">
      <w:pPr>
        <w:pStyle w:val="Heading2"/>
        <w:rPr>
          <w:rFonts w:ascii="Times New Roman" w:hAnsi="Times New Roman" w:cs="Times New Roman"/>
          <w:color w:val="auto"/>
        </w:rPr>
      </w:pPr>
      <w:r w:rsidRPr="0039164C">
        <w:rPr>
          <w:rFonts w:ascii="Times New Roman" w:hAnsi="Times New Roman" w:cs="Times New Roman"/>
          <w:color w:val="auto"/>
        </w:rPr>
        <w:lastRenderedPageBreak/>
        <w:t>Proposed creation of a new Funding, Disclosure and Compliance Branch</w:t>
      </w:r>
    </w:p>
    <w:p w:rsidR="001E3E7B" w:rsidRPr="0039164C" w:rsidRDefault="001E3E7B" w:rsidP="0039164C">
      <w:pPr>
        <w:pStyle w:val="Heading2"/>
        <w:numPr>
          <w:ilvl w:val="1"/>
          <w:numId w:val="21"/>
        </w:numPr>
        <w:ind w:left="567" w:hanging="567"/>
        <w:rPr>
          <w:rFonts w:ascii="Times New Roman" w:hAnsi="Times New Roman" w:cs="Times New Roman"/>
          <w:b w:val="0"/>
          <w:color w:val="auto"/>
        </w:rPr>
      </w:pPr>
      <w:r w:rsidRPr="0039164C">
        <w:rPr>
          <w:rFonts w:ascii="Times New Roman" w:hAnsi="Times New Roman" w:cs="Times New Roman"/>
          <w:b w:val="0"/>
          <w:color w:val="auto"/>
          <w:sz w:val="24"/>
          <w:szCs w:val="24"/>
        </w:rPr>
        <w:t xml:space="preserve">The elements that cover the Funding, Disclosure and Compliance functions in the current Legal and Compliance Branch have had a chequered history in terms of their organisational placement within the Commission.  At different times they have been attached to </w:t>
      </w:r>
      <w:r w:rsidR="009B1EF3" w:rsidRPr="0039164C">
        <w:rPr>
          <w:rFonts w:ascii="Times New Roman" w:hAnsi="Times New Roman" w:cs="Times New Roman"/>
          <w:b w:val="0"/>
          <w:color w:val="auto"/>
          <w:sz w:val="24"/>
          <w:szCs w:val="24"/>
        </w:rPr>
        <w:t>various</w:t>
      </w:r>
      <w:r w:rsidRPr="0039164C">
        <w:rPr>
          <w:rFonts w:ascii="Times New Roman" w:hAnsi="Times New Roman" w:cs="Times New Roman"/>
          <w:b w:val="0"/>
          <w:color w:val="auto"/>
          <w:sz w:val="24"/>
          <w:szCs w:val="24"/>
        </w:rPr>
        <w:t xml:space="preserve"> branches, before joining their current home in </w:t>
      </w:r>
      <w:r w:rsidR="00A46548" w:rsidRPr="0039164C">
        <w:rPr>
          <w:rFonts w:ascii="Times New Roman" w:hAnsi="Times New Roman" w:cs="Times New Roman"/>
          <w:b w:val="0"/>
          <w:color w:val="auto"/>
          <w:sz w:val="24"/>
          <w:szCs w:val="24"/>
        </w:rPr>
        <w:t xml:space="preserve">the </w:t>
      </w:r>
      <w:r w:rsidRPr="0039164C">
        <w:rPr>
          <w:rFonts w:ascii="Times New Roman" w:hAnsi="Times New Roman" w:cs="Times New Roman"/>
          <w:b w:val="0"/>
          <w:color w:val="auto"/>
          <w:sz w:val="24"/>
          <w:szCs w:val="24"/>
        </w:rPr>
        <w:t>Legal and Compliance Branch</w:t>
      </w:r>
      <w:r w:rsidR="00100676" w:rsidRPr="0039164C">
        <w:rPr>
          <w:rFonts w:ascii="Times New Roman" w:hAnsi="Times New Roman" w:cs="Times New Roman"/>
          <w:b w:val="0"/>
          <w:color w:val="auto"/>
          <w:sz w:val="24"/>
          <w:szCs w:val="24"/>
        </w:rPr>
        <w:t xml:space="preserve"> in 2007</w:t>
      </w:r>
      <w:r w:rsidRPr="0039164C">
        <w:rPr>
          <w:rFonts w:ascii="Times New Roman" w:hAnsi="Times New Roman" w:cs="Times New Roman"/>
          <w:b w:val="0"/>
          <w:color w:val="auto"/>
          <w:sz w:val="24"/>
          <w:szCs w:val="24"/>
        </w:rPr>
        <w:t xml:space="preserve">.  In addition there has been the separation of the Financial Compliance section from the Registration and Disclosure section since 2008.  </w:t>
      </w:r>
    </w:p>
    <w:p w:rsidR="00F975DA" w:rsidRPr="00E03FA9" w:rsidRDefault="004234CA"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76" w:name="_Toc339540908"/>
      <w:r w:rsidRPr="00775444">
        <w:rPr>
          <w:rFonts w:ascii="Times New Roman" w:hAnsi="Times New Roman" w:cs="Times New Roman"/>
          <w:b w:val="0"/>
          <w:color w:val="000000" w:themeColor="text1"/>
          <w:sz w:val="24"/>
          <w:szCs w:val="24"/>
        </w:rPr>
        <w:t xml:space="preserve">This locational instability has left the Compliance Section with a legacy of uncertainty about its place in the organisation that has had an impact on staff morale.  There is a feeling that they have not been regarded as a part of the main core of the Commission. Their physical separation from their closest neighbours from a functional viewpoint, the Registration and Disclosure Section, has </w:t>
      </w:r>
      <w:r w:rsidR="00A87CC9">
        <w:rPr>
          <w:rFonts w:ascii="Times New Roman" w:hAnsi="Times New Roman" w:cs="Times New Roman"/>
          <w:b w:val="0"/>
          <w:color w:val="000000" w:themeColor="text1"/>
          <w:sz w:val="24"/>
          <w:szCs w:val="24"/>
        </w:rPr>
        <w:t xml:space="preserve">also </w:t>
      </w:r>
      <w:r w:rsidRPr="00775444">
        <w:rPr>
          <w:rFonts w:ascii="Times New Roman" w:hAnsi="Times New Roman" w:cs="Times New Roman"/>
          <w:b w:val="0"/>
          <w:color w:val="000000" w:themeColor="text1"/>
          <w:sz w:val="24"/>
          <w:szCs w:val="24"/>
        </w:rPr>
        <w:t xml:space="preserve">added to </w:t>
      </w:r>
      <w:r w:rsidR="00A87CC9">
        <w:rPr>
          <w:rFonts w:ascii="Times New Roman" w:hAnsi="Times New Roman" w:cs="Times New Roman"/>
          <w:b w:val="0"/>
          <w:color w:val="000000" w:themeColor="text1"/>
          <w:sz w:val="24"/>
          <w:szCs w:val="24"/>
        </w:rPr>
        <w:t>a</w:t>
      </w:r>
      <w:r w:rsidRPr="00775444">
        <w:rPr>
          <w:rFonts w:ascii="Times New Roman" w:hAnsi="Times New Roman" w:cs="Times New Roman"/>
          <w:b w:val="0"/>
          <w:color w:val="000000" w:themeColor="text1"/>
          <w:sz w:val="24"/>
          <w:szCs w:val="24"/>
        </w:rPr>
        <w:t xml:space="preserve"> sense of isolation from the mainstream</w:t>
      </w:r>
      <w:r w:rsidR="00A87CC9">
        <w:rPr>
          <w:rFonts w:ascii="Times New Roman" w:hAnsi="Times New Roman" w:cs="Times New Roman"/>
          <w:b w:val="0"/>
          <w:color w:val="000000" w:themeColor="text1"/>
          <w:sz w:val="24"/>
          <w:szCs w:val="24"/>
        </w:rPr>
        <w:t xml:space="preserve"> at times</w:t>
      </w:r>
      <w:r w:rsidRPr="00775444">
        <w:rPr>
          <w:rFonts w:ascii="Times New Roman" w:hAnsi="Times New Roman" w:cs="Times New Roman"/>
          <w:b w:val="0"/>
          <w:color w:val="000000" w:themeColor="text1"/>
          <w:sz w:val="24"/>
          <w:szCs w:val="24"/>
        </w:rPr>
        <w:t>.</w:t>
      </w:r>
      <w:bookmarkEnd w:id="76"/>
      <w:r w:rsidRPr="00775444">
        <w:rPr>
          <w:rFonts w:ascii="Times New Roman" w:hAnsi="Times New Roman" w:cs="Times New Roman"/>
          <w:b w:val="0"/>
          <w:color w:val="000000" w:themeColor="text1"/>
          <w:sz w:val="24"/>
          <w:szCs w:val="24"/>
        </w:rPr>
        <w:t xml:space="preserve">  </w:t>
      </w:r>
    </w:p>
    <w:p w:rsidR="00F975DA" w:rsidRPr="00E03FA9" w:rsidRDefault="004234CA"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77" w:name="_Toc339540909"/>
      <w:r w:rsidRPr="00775444">
        <w:rPr>
          <w:rFonts w:ascii="Times New Roman" w:hAnsi="Times New Roman" w:cs="Times New Roman"/>
          <w:b w:val="0"/>
          <w:color w:val="000000" w:themeColor="text1"/>
          <w:sz w:val="24"/>
          <w:szCs w:val="24"/>
        </w:rPr>
        <w:t>These feelings or attitudes, while felt by staff to differing degrees, have not helped overall morale and have been a factor in the inability of the section as a whole to retain good staff.</w:t>
      </w:r>
      <w:bookmarkEnd w:id="77"/>
    </w:p>
    <w:p w:rsidR="00F975DA" w:rsidRPr="00E03FA9" w:rsidRDefault="004234CA"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78" w:name="_Toc339540910"/>
      <w:r w:rsidRPr="00775444">
        <w:rPr>
          <w:rFonts w:ascii="Times New Roman" w:hAnsi="Times New Roman" w:cs="Times New Roman"/>
          <w:b w:val="0"/>
          <w:color w:val="000000" w:themeColor="text1"/>
          <w:sz w:val="24"/>
          <w:szCs w:val="24"/>
        </w:rPr>
        <w:t>Adoption of the recommendations in this report will involve a concentrated effort to implement and will require additional resources to be applied, both at the leadership and operational levels.  It will also demand a strong commitment and involvement of managers at the section and branch level to drive the implementation process</w:t>
      </w:r>
      <w:bookmarkEnd w:id="78"/>
      <w:r w:rsidR="00E03FA9">
        <w:rPr>
          <w:rFonts w:ascii="Times New Roman" w:hAnsi="Times New Roman" w:cs="Times New Roman"/>
          <w:b w:val="0"/>
          <w:color w:val="000000" w:themeColor="text1"/>
          <w:sz w:val="24"/>
          <w:szCs w:val="24"/>
        </w:rPr>
        <w:t>.</w:t>
      </w:r>
    </w:p>
    <w:p w:rsidR="00F975DA" w:rsidRPr="00D44DC7" w:rsidRDefault="004234CA"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79" w:name="_Toc339540911"/>
      <w:r w:rsidRPr="00775444">
        <w:rPr>
          <w:rFonts w:ascii="Times New Roman" w:hAnsi="Times New Roman" w:cs="Times New Roman"/>
          <w:b w:val="0"/>
          <w:color w:val="000000" w:themeColor="text1"/>
          <w:sz w:val="24"/>
          <w:szCs w:val="24"/>
        </w:rPr>
        <w:t>This w</w:t>
      </w:r>
      <w:r w:rsidR="00A87CC9">
        <w:rPr>
          <w:rFonts w:ascii="Times New Roman" w:hAnsi="Times New Roman" w:cs="Times New Roman"/>
          <w:b w:val="0"/>
          <w:color w:val="000000" w:themeColor="text1"/>
          <w:sz w:val="24"/>
          <w:szCs w:val="24"/>
        </w:rPr>
        <w:t>ill</w:t>
      </w:r>
      <w:r w:rsidRPr="00775444">
        <w:rPr>
          <w:rFonts w:ascii="Times New Roman" w:hAnsi="Times New Roman" w:cs="Times New Roman"/>
          <w:b w:val="0"/>
          <w:color w:val="000000" w:themeColor="text1"/>
          <w:sz w:val="24"/>
          <w:szCs w:val="24"/>
        </w:rPr>
        <w:t xml:space="preserve"> place additional demands on the existing branch head position which is already a heavily committed position ranging as it does across the whole organisation from a legal policy and advising point of view, while also holding down management and operational responsibilities </w:t>
      </w:r>
      <w:r w:rsidR="00A87CC9">
        <w:rPr>
          <w:rFonts w:ascii="Times New Roman" w:hAnsi="Times New Roman" w:cs="Times New Roman"/>
          <w:b w:val="0"/>
          <w:color w:val="000000" w:themeColor="text1"/>
          <w:sz w:val="24"/>
          <w:szCs w:val="24"/>
        </w:rPr>
        <w:t>for other unrelated functions</w:t>
      </w:r>
      <w:r w:rsidRPr="00775444">
        <w:rPr>
          <w:rFonts w:ascii="Times New Roman" w:hAnsi="Times New Roman" w:cs="Times New Roman"/>
          <w:b w:val="0"/>
          <w:color w:val="000000" w:themeColor="text1"/>
          <w:sz w:val="24"/>
          <w:szCs w:val="24"/>
        </w:rPr>
        <w:t>.</w:t>
      </w:r>
      <w:bookmarkEnd w:id="79"/>
    </w:p>
    <w:p w:rsidR="0096777D" w:rsidRPr="00D44DC7" w:rsidRDefault="004234CA" w:rsidP="0096777D">
      <w:pPr>
        <w:pStyle w:val="Heading2"/>
        <w:numPr>
          <w:ilvl w:val="1"/>
          <w:numId w:val="21"/>
        </w:numPr>
        <w:ind w:left="567" w:hanging="567"/>
        <w:rPr>
          <w:rFonts w:ascii="Times New Roman" w:hAnsi="Times New Roman" w:cs="Times New Roman"/>
          <w:b w:val="0"/>
          <w:color w:val="000000" w:themeColor="text1"/>
          <w:sz w:val="24"/>
          <w:szCs w:val="24"/>
        </w:rPr>
      </w:pPr>
      <w:bookmarkStart w:id="80" w:name="_Toc339540912"/>
      <w:r w:rsidRPr="00775444">
        <w:rPr>
          <w:rFonts w:ascii="Times New Roman" w:hAnsi="Times New Roman" w:cs="Times New Roman"/>
          <w:b w:val="0"/>
          <w:color w:val="000000" w:themeColor="text1"/>
          <w:sz w:val="24"/>
          <w:szCs w:val="24"/>
        </w:rPr>
        <w:t>The Commission has a history of being involved on almost a continuing basis with the development and management of a program of legislative change associated with the Electoral Act.  This requires the close personal involvement of the Commission’s Chief Legal Officer.</w:t>
      </w:r>
      <w:bookmarkEnd w:id="80"/>
      <w:r w:rsidRPr="00775444">
        <w:rPr>
          <w:rFonts w:ascii="Times New Roman" w:hAnsi="Times New Roman" w:cs="Times New Roman"/>
          <w:b w:val="0"/>
          <w:color w:val="000000" w:themeColor="text1"/>
          <w:sz w:val="24"/>
          <w:szCs w:val="24"/>
        </w:rPr>
        <w:t xml:space="preserve"> </w:t>
      </w:r>
    </w:p>
    <w:p w:rsidR="00100676" w:rsidRDefault="001E3E7B" w:rsidP="00100676">
      <w:pPr>
        <w:pStyle w:val="Heading2"/>
        <w:numPr>
          <w:ilvl w:val="1"/>
          <w:numId w:val="21"/>
        </w:numPr>
        <w:ind w:left="567" w:hanging="567"/>
        <w:rPr>
          <w:rFonts w:ascii="Times New Roman" w:hAnsi="Times New Roman" w:cs="Times New Roman"/>
          <w:b w:val="0"/>
          <w:color w:val="000000" w:themeColor="text1"/>
          <w:sz w:val="24"/>
          <w:szCs w:val="24"/>
        </w:rPr>
      </w:pPr>
      <w:bookmarkStart w:id="81" w:name="_Toc339540913"/>
      <w:r w:rsidRPr="00775444">
        <w:rPr>
          <w:rFonts w:ascii="Times New Roman" w:hAnsi="Times New Roman" w:cs="Times New Roman"/>
          <w:b w:val="0"/>
          <w:color w:val="000000" w:themeColor="text1"/>
          <w:sz w:val="24"/>
          <w:szCs w:val="24"/>
        </w:rPr>
        <w:t xml:space="preserve">In addition activity connected with the work of parliamentary committees is also heavy.  </w:t>
      </w:r>
      <w:r w:rsidR="007C38A0" w:rsidRPr="00775444">
        <w:rPr>
          <w:rFonts w:ascii="Times New Roman" w:hAnsi="Times New Roman" w:cs="Times New Roman"/>
          <w:b w:val="0"/>
          <w:color w:val="000000" w:themeColor="text1"/>
          <w:sz w:val="24"/>
          <w:szCs w:val="24"/>
        </w:rPr>
        <w:t>JSCEM</w:t>
      </w:r>
      <w:r w:rsidRPr="00775444">
        <w:rPr>
          <w:rFonts w:ascii="Times New Roman" w:hAnsi="Times New Roman" w:cs="Times New Roman"/>
          <w:b w:val="0"/>
          <w:color w:val="000000" w:themeColor="text1"/>
          <w:sz w:val="24"/>
          <w:szCs w:val="24"/>
        </w:rPr>
        <w:t xml:space="preserve"> is an active committee that has a charter that requires it to meet regularly.  Senate </w:t>
      </w:r>
      <w:r w:rsidR="00166DD3" w:rsidRPr="00775444">
        <w:rPr>
          <w:rFonts w:ascii="Times New Roman" w:hAnsi="Times New Roman" w:cs="Times New Roman"/>
          <w:b w:val="0"/>
          <w:color w:val="000000" w:themeColor="text1"/>
          <w:sz w:val="24"/>
          <w:szCs w:val="24"/>
        </w:rPr>
        <w:t>E</w:t>
      </w:r>
      <w:r w:rsidRPr="00775444">
        <w:rPr>
          <w:rFonts w:ascii="Times New Roman" w:hAnsi="Times New Roman" w:cs="Times New Roman"/>
          <w:b w:val="0"/>
          <w:color w:val="000000" w:themeColor="text1"/>
          <w:sz w:val="24"/>
          <w:szCs w:val="24"/>
        </w:rPr>
        <w:t>stimate hearings also involve the Chief Legal Officer in regular briefing of the Electoral Commissioner and appearing with him at public hearings which are heavily focussed on election issues particularly those associated with political party funding and disclosure.</w:t>
      </w:r>
      <w:bookmarkEnd w:id="81"/>
    </w:p>
    <w:p w:rsidR="0096777D" w:rsidRPr="0096777D" w:rsidRDefault="0096777D" w:rsidP="0096777D"/>
    <w:p w:rsidR="00856254" w:rsidRPr="00856254" w:rsidRDefault="001E3E7B" w:rsidP="00856254">
      <w:pPr>
        <w:pStyle w:val="Heading2"/>
        <w:numPr>
          <w:ilvl w:val="1"/>
          <w:numId w:val="21"/>
        </w:numPr>
        <w:ind w:left="567" w:hanging="567"/>
        <w:rPr>
          <w:rFonts w:ascii="Times New Roman" w:hAnsi="Times New Roman" w:cs="Times New Roman"/>
          <w:b w:val="0"/>
          <w:color w:val="000000" w:themeColor="text1"/>
          <w:sz w:val="24"/>
          <w:szCs w:val="24"/>
        </w:rPr>
      </w:pPr>
      <w:bookmarkStart w:id="82" w:name="_Toc339540914"/>
      <w:r w:rsidRPr="00775444">
        <w:rPr>
          <w:rFonts w:ascii="Times New Roman" w:hAnsi="Times New Roman" w:cs="Times New Roman"/>
          <w:b w:val="0"/>
          <w:color w:val="000000" w:themeColor="text1"/>
          <w:sz w:val="24"/>
          <w:szCs w:val="24"/>
        </w:rPr>
        <w:lastRenderedPageBreak/>
        <w:t>I believe that there is a strong case to consider reducing the day to day management load on the Chief Legal Officer to allow him to concentrate his abilities on those matters that demand legal expertise by relieving him of most of his non legal related management responsibilities.</w:t>
      </w:r>
      <w:bookmarkEnd w:id="82"/>
    </w:p>
    <w:p w:rsidR="00F975DA" w:rsidRPr="00FA7BF6" w:rsidRDefault="001E3E7B"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83" w:name="_Toc339540915"/>
      <w:r w:rsidRPr="00775444">
        <w:rPr>
          <w:rFonts w:ascii="Times New Roman" w:hAnsi="Times New Roman" w:cs="Times New Roman"/>
          <w:b w:val="0"/>
          <w:color w:val="000000" w:themeColor="text1"/>
          <w:sz w:val="24"/>
          <w:szCs w:val="24"/>
        </w:rPr>
        <w:t>I am satisfied that the history of the Commission’s frequent involvement with legislative developments touched on earlier and the complexity and uncertainty of the law in some respects, coupled with its political sensitivity, warrants providing the Chief Legal Officer with an increased capacity to concentrate more fully on the legal/legislative/p</w:t>
      </w:r>
      <w:r w:rsidR="002F5EE1">
        <w:rPr>
          <w:rFonts w:ascii="Times New Roman" w:hAnsi="Times New Roman" w:cs="Times New Roman"/>
          <w:b w:val="0"/>
          <w:color w:val="000000" w:themeColor="text1"/>
          <w:sz w:val="24"/>
          <w:szCs w:val="24"/>
        </w:rPr>
        <w:t>arliamentary aspects of the Comm</w:t>
      </w:r>
      <w:r w:rsidRPr="00775444">
        <w:rPr>
          <w:rFonts w:ascii="Times New Roman" w:hAnsi="Times New Roman" w:cs="Times New Roman"/>
          <w:b w:val="0"/>
          <w:color w:val="000000" w:themeColor="text1"/>
          <w:sz w:val="24"/>
          <w:szCs w:val="24"/>
        </w:rPr>
        <w:t>ission’s responsibilities.</w:t>
      </w:r>
      <w:bookmarkEnd w:id="83"/>
    </w:p>
    <w:p w:rsidR="00F975DA" w:rsidRPr="00FA7BF6" w:rsidRDefault="001E3E7B"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84" w:name="_Toc339540916"/>
      <w:r w:rsidRPr="00775444">
        <w:rPr>
          <w:rFonts w:ascii="Times New Roman" w:hAnsi="Times New Roman" w:cs="Times New Roman"/>
          <w:b w:val="0"/>
          <w:color w:val="000000" w:themeColor="text1"/>
          <w:sz w:val="24"/>
          <w:szCs w:val="24"/>
        </w:rPr>
        <w:t>With this change the two FAD sections covering the registration and disclosure and financial compliance functions, would warrant a new branch head position. This person would be able to concentrate fully in leading the better integration of these two sections and developing more strongly the compliance review function in the directions recommended by this report.</w:t>
      </w:r>
      <w:bookmarkEnd w:id="84"/>
      <w:r w:rsidRPr="00775444">
        <w:rPr>
          <w:rFonts w:ascii="Times New Roman" w:hAnsi="Times New Roman" w:cs="Times New Roman"/>
          <w:b w:val="0"/>
          <w:color w:val="000000" w:themeColor="text1"/>
          <w:sz w:val="24"/>
          <w:szCs w:val="24"/>
        </w:rPr>
        <w:t xml:space="preserve">  </w:t>
      </w:r>
    </w:p>
    <w:p w:rsidR="00F975DA" w:rsidRPr="00FA7BF6" w:rsidRDefault="001E3E7B"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85" w:name="_Toc339540917"/>
      <w:r w:rsidRPr="00775444">
        <w:rPr>
          <w:rFonts w:ascii="Times New Roman" w:hAnsi="Times New Roman" w:cs="Times New Roman"/>
          <w:b w:val="0"/>
          <w:color w:val="000000" w:themeColor="text1"/>
          <w:sz w:val="24"/>
          <w:szCs w:val="24"/>
        </w:rPr>
        <w:t>The achievement of a closer integration of the different sections within the FAD area is an important goal and offers the prospect of acting as a key productivity multiplier if the various work procedures and practices are harmonised successfully.</w:t>
      </w:r>
      <w:bookmarkEnd w:id="85"/>
    </w:p>
    <w:p w:rsidR="00F975DA" w:rsidRPr="00D44DC7" w:rsidRDefault="001E3E7B" w:rsidP="00F975DA">
      <w:pPr>
        <w:pStyle w:val="Heading2"/>
        <w:numPr>
          <w:ilvl w:val="1"/>
          <w:numId w:val="21"/>
        </w:numPr>
        <w:ind w:left="567" w:hanging="567"/>
        <w:rPr>
          <w:rFonts w:ascii="Times New Roman" w:hAnsi="Times New Roman" w:cs="Times New Roman"/>
          <w:b w:val="0"/>
          <w:color w:val="000000" w:themeColor="text1"/>
          <w:sz w:val="24"/>
          <w:szCs w:val="24"/>
        </w:rPr>
      </w:pPr>
      <w:bookmarkStart w:id="86" w:name="_Toc339540918"/>
      <w:r w:rsidRPr="00775444">
        <w:rPr>
          <w:rFonts w:ascii="Times New Roman" w:hAnsi="Times New Roman" w:cs="Times New Roman"/>
          <w:b w:val="0"/>
          <w:color w:val="000000" w:themeColor="text1"/>
          <w:sz w:val="24"/>
          <w:szCs w:val="24"/>
        </w:rPr>
        <w:t xml:space="preserve">The new branch that is proposed should have a commitment to actively seek to strengthen their client education and support role so that the level of confidence of the clients is raised </w:t>
      </w:r>
      <w:r w:rsidR="00D0517C" w:rsidRPr="00775444">
        <w:rPr>
          <w:rFonts w:ascii="Times New Roman" w:hAnsi="Times New Roman" w:cs="Times New Roman"/>
          <w:b w:val="0"/>
          <w:color w:val="000000" w:themeColor="text1"/>
          <w:sz w:val="24"/>
          <w:szCs w:val="24"/>
        </w:rPr>
        <w:t>in the hope that this will</w:t>
      </w:r>
      <w:r w:rsidRPr="00775444">
        <w:rPr>
          <w:rFonts w:ascii="Times New Roman" w:hAnsi="Times New Roman" w:cs="Times New Roman"/>
          <w:b w:val="0"/>
          <w:color w:val="000000" w:themeColor="text1"/>
          <w:sz w:val="24"/>
          <w:szCs w:val="24"/>
        </w:rPr>
        <w:t xml:space="preserve"> lead to a greater willingness to cooperate with the Commission.  This objective will help to counteract, to some extent, the potential for some anxiety to be felt when the Commission embarks </w:t>
      </w:r>
      <w:r w:rsidR="00B7403B" w:rsidRPr="00775444">
        <w:rPr>
          <w:rFonts w:ascii="Times New Roman" w:hAnsi="Times New Roman" w:cs="Times New Roman"/>
          <w:b w:val="0"/>
          <w:color w:val="000000" w:themeColor="text1"/>
          <w:sz w:val="24"/>
          <w:szCs w:val="24"/>
        </w:rPr>
        <w:t xml:space="preserve">on </w:t>
      </w:r>
      <w:r w:rsidRPr="00775444">
        <w:rPr>
          <w:rFonts w:ascii="Times New Roman" w:hAnsi="Times New Roman" w:cs="Times New Roman"/>
          <w:b w:val="0"/>
          <w:color w:val="000000" w:themeColor="text1"/>
          <w:sz w:val="24"/>
          <w:szCs w:val="24"/>
        </w:rPr>
        <w:t xml:space="preserve">a more </w:t>
      </w:r>
      <w:r w:rsidR="00D0517C" w:rsidRPr="00775444">
        <w:rPr>
          <w:rFonts w:ascii="Times New Roman" w:hAnsi="Times New Roman" w:cs="Times New Roman"/>
          <w:b w:val="0"/>
          <w:color w:val="000000" w:themeColor="text1"/>
          <w:sz w:val="24"/>
          <w:szCs w:val="24"/>
        </w:rPr>
        <w:t>pro</w:t>
      </w:r>
      <w:r w:rsidRPr="00775444">
        <w:rPr>
          <w:rFonts w:ascii="Times New Roman" w:hAnsi="Times New Roman" w:cs="Times New Roman"/>
          <w:b w:val="0"/>
          <w:color w:val="000000" w:themeColor="text1"/>
          <w:sz w:val="24"/>
          <w:szCs w:val="24"/>
        </w:rPr>
        <w:t>active compliance program.</w:t>
      </w:r>
      <w:bookmarkEnd w:id="86"/>
      <w:r w:rsidRPr="00775444">
        <w:rPr>
          <w:rFonts w:ascii="Times New Roman" w:hAnsi="Times New Roman" w:cs="Times New Roman"/>
          <w:b w:val="0"/>
          <w:color w:val="000000" w:themeColor="text1"/>
          <w:sz w:val="24"/>
          <w:szCs w:val="24"/>
        </w:rPr>
        <w:t xml:space="preserve"> </w:t>
      </w:r>
    </w:p>
    <w:p w:rsidR="0096777D" w:rsidRPr="00D44DC7" w:rsidRDefault="004234CA" w:rsidP="0096777D">
      <w:pPr>
        <w:pStyle w:val="Heading2"/>
        <w:numPr>
          <w:ilvl w:val="1"/>
          <w:numId w:val="21"/>
        </w:numPr>
        <w:ind w:left="567" w:hanging="567"/>
        <w:rPr>
          <w:rFonts w:ascii="Times New Roman" w:hAnsi="Times New Roman" w:cs="Times New Roman"/>
          <w:b w:val="0"/>
          <w:color w:val="000000" w:themeColor="text1"/>
          <w:sz w:val="24"/>
          <w:szCs w:val="24"/>
        </w:rPr>
      </w:pPr>
      <w:bookmarkStart w:id="87" w:name="_Toc339540919"/>
      <w:r w:rsidRPr="004234CA">
        <w:rPr>
          <w:rFonts w:ascii="Times New Roman" w:hAnsi="Times New Roman" w:cs="Times New Roman"/>
          <w:b w:val="0"/>
          <w:color w:val="000000" w:themeColor="text1"/>
          <w:sz w:val="24"/>
          <w:szCs w:val="24"/>
        </w:rPr>
        <w:t xml:space="preserve">An additional matter that will warrant consideration should a new branch be constituted is the Commission’s position on the results of compliance reviews being made public, for example, on the website. In its November 2011 </w:t>
      </w:r>
      <w:r w:rsidRPr="004234CA">
        <w:rPr>
          <w:rFonts w:ascii="Times New Roman" w:hAnsi="Times New Roman" w:cs="Times New Roman"/>
          <w:b w:val="0"/>
          <w:i/>
          <w:color w:val="000000" w:themeColor="text1"/>
          <w:sz w:val="24"/>
          <w:szCs w:val="24"/>
        </w:rPr>
        <w:t xml:space="preserve">Report on the funding of political parties and election campaigns, </w:t>
      </w:r>
      <w:r w:rsidRPr="004234CA">
        <w:rPr>
          <w:rFonts w:ascii="Times New Roman" w:hAnsi="Times New Roman" w:cs="Times New Roman"/>
          <w:b w:val="0"/>
          <w:color w:val="000000" w:themeColor="text1"/>
          <w:sz w:val="24"/>
          <w:szCs w:val="24"/>
        </w:rPr>
        <w:t>JSCEM recommended that details of compliance reviews be made publically available</w:t>
      </w:r>
      <w:r w:rsidR="00AF574D">
        <w:rPr>
          <w:rFonts w:ascii="Times New Roman" w:hAnsi="Times New Roman" w:cs="Times New Roman"/>
          <w:b w:val="0"/>
          <w:color w:val="000000" w:themeColor="text1"/>
          <w:sz w:val="24"/>
          <w:szCs w:val="24"/>
        </w:rPr>
        <w:t>.</w:t>
      </w:r>
      <w:r w:rsidRPr="004234CA">
        <w:rPr>
          <w:rStyle w:val="FootnoteReference"/>
          <w:rFonts w:ascii="Times New Roman" w:hAnsi="Times New Roman" w:cs="Times New Roman"/>
          <w:b w:val="0"/>
          <w:color w:val="000000" w:themeColor="text1"/>
          <w:sz w:val="24"/>
          <w:szCs w:val="24"/>
        </w:rPr>
        <w:footnoteReference w:id="32"/>
      </w:r>
      <w:bookmarkEnd w:id="87"/>
      <w:r w:rsidRPr="004234CA">
        <w:rPr>
          <w:rFonts w:ascii="Times New Roman" w:hAnsi="Times New Roman" w:cs="Times New Roman"/>
          <w:b w:val="0"/>
          <w:color w:val="000000" w:themeColor="text1"/>
          <w:sz w:val="24"/>
          <w:szCs w:val="24"/>
        </w:rPr>
        <w:t xml:space="preserve">   </w:t>
      </w:r>
    </w:p>
    <w:p w:rsidR="00792115" w:rsidRDefault="004234CA" w:rsidP="00792115">
      <w:pPr>
        <w:pStyle w:val="Heading2"/>
        <w:numPr>
          <w:ilvl w:val="1"/>
          <w:numId w:val="21"/>
        </w:numPr>
        <w:ind w:left="567" w:hanging="567"/>
        <w:rPr>
          <w:rFonts w:ascii="Times New Roman" w:hAnsi="Times New Roman" w:cs="Times New Roman"/>
          <w:b w:val="0"/>
          <w:color w:val="000000" w:themeColor="text1"/>
          <w:sz w:val="24"/>
          <w:szCs w:val="24"/>
        </w:rPr>
      </w:pPr>
      <w:bookmarkStart w:id="88" w:name="_Toc339540920"/>
      <w:r w:rsidRPr="004234CA">
        <w:rPr>
          <w:rFonts w:ascii="Times New Roman" w:hAnsi="Times New Roman" w:cs="Times New Roman"/>
          <w:b w:val="0"/>
          <w:color w:val="000000" w:themeColor="text1"/>
          <w:sz w:val="24"/>
          <w:szCs w:val="24"/>
        </w:rPr>
        <w:t>Should this measure be passed by the Parliament in the future, the Commission will need to ensure that the information it makes available to the public has been subject to a sufficient degree of internal</w:t>
      </w:r>
      <w:r w:rsidR="00792115">
        <w:rPr>
          <w:b w:val="0"/>
          <w:color w:val="000000" w:themeColor="text1"/>
        </w:rPr>
        <w:t xml:space="preserve"> </w:t>
      </w:r>
      <w:r w:rsidR="00895236" w:rsidRPr="00792115">
        <w:rPr>
          <w:rFonts w:ascii="Times New Roman" w:hAnsi="Times New Roman" w:cs="Times New Roman"/>
          <w:b w:val="0"/>
          <w:color w:val="000000" w:themeColor="text1"/>
          <w:sz w:val="24"/>
          <w:szCs w:val="24"/>
        </w:rPr>
        <w:t>accountability and that the information contained in the compliance review reports is sound and able to withstand the</w:t>
      </w:r>
      <w:r w:rsidR="00A87CC9">
        <w:rPr>
          <w:rFonts w:ascii="Times New Roman" w:hAnsi="Times New Roman" w:cs="Times New Roman"/>
          <w:b w:val="0"/>
          <w:color w:val="000000" w:themeColor="text1"/>
          <w:sz w:val="24"/>
          <w:szCs w:val="24"/>
        </w:rPr>
        <w:t xml:space="preserve"> wider</w:t>
      </w:r>
      <w:r w:rsidR="00895236" w:rsidRPr="00792115">
        <w:rPr>
          <w:rFonts w:ascii="Times New Roman" w:hAnsi="Times New Roman" w:cs="Times New Roman"/>
          <w:b w:val="0"/>
          <w:color w:val="000000" w:themeColor="text1"/>
          <w:sz w:val="24"/>
          <w:szCs w:val="24"/>
        </w:rPr>
        <w:t xml:space="preserve"> scrutiny t</w:t>
      </w:r>
      <w:r w:rsidR="00754CCC" w:rsidRPr="00792115">
        <w:rPr>
          <w:rFonts w:ascii="Times New Roman" w:hAnsi="Times New Roman" w:cs="Times New Roman"/>
          <w:b w:val="0"/>
          <w:color w:val="000000" w:themeColor="text1"/>
          <w:sz w:val="24"/>
          <w:szCs w:val="24"/>
        </w:rPr>
        <w:t xml:space="preserve">hat </w:t>
      </w:r>
      <w:r w:rsidR="00A87CC9">
        <w:rPr>
          <w:rFonts w:ascii="Times New Roman" w:hAnsi="Times New Roman" w:cs="Times New Roman"/>
          <w:b w:val="0"/>
          <w:color w:val="000000" w:themeColor="text1"/>
          <w:sz w:val="24"/>
          <w:szCs w:val="24"/>
        </w:rPr>
        <w:t>publication will entail</w:t>
      </w:r>
      <w:r w:rsidR="00754CCC" w:rsidRPr="00792115">
        <w:rPr>
          <w:rFonts w:ascii="Times New Roman" w:hAnsi="Times New Roman" w:cs="Times New Roman"/>
          <w:b w:val="0"/>
          <w:color w:val="000000" w:themeColor="text1"/>
          <w:sz w:val="24"/>
          <w:szCs w:val="24"/>
        </w:rPr>
        <w:t>.</w:t>
      </w:r>
      <w:bookmarkEnd w:id="88"/>
      <w:r w:rsidR="00754CCC" w:rsidRPr="00792115">
        <w:rPr>
          <w:rFonts w:ascii="Times New Roman" w:hAnsi="Times New Roman" w:cs="Times New Roman"/>
          <w:b w:val="0"/>
          <w:color w:val="000000" w:themeColor="text1"/>
          <w:sz w:val="24"/>
          <w:szCs w:val="24"/>
        </w:rPr>
        <w:t xml:space="preserve">  </w:t>
      </w:r>
    </w:p>
    <w:p w:rsidR="0096777D" w:rsidRPr="0096777D" w:rsidRDefault="0096777D" w:rsidP="0096777D"/>
    <w:p w:rsidR="00895236" w:rsidRPr="00792115" w:rsidRDefault="00754CCC" w:rsidP="00792115">
      <w:pPr>
        <w:pStyle w:val="Heading2"/>
        <w:numPr>
          <w:ilvl w:val="1"/>
          <w:numId w:val="21"/>
        </w:numPr>
        <w:ind w:left="567" w:hanging="567"/>
        <w:rPr>
          <w:b w:val="0"/>
          <w:color w:val="000000" w:themeColor="text1"/>
        </w:rPr>
      </w:pPr>
      <w:bookmarkStart w:id="89" w:name="_Toc339540921"/>
      <w:r w:rsidRPr="00792115">
        <w:rPr>
          <w:rFonts w:ascii="Times New Roman" w:hAnsi="Times New Roman" w:cs="Times New Roman"/>
          <w:b w:val="0"/>
          <w:color w:val="000000" w:themeColor="text1"/>
          <w:sz w:val="24"/>
          <w:szCs w:val="24"/>
        </w:rPr>
        <w:lastRenderedPageBreak/>
        <w:t xml:space="preserve">The PwC report states that currently, the details of compliance reviews remain predominantly in-house within FAD.  Accordingly, as an initial step towards greater transparency and accountability in the conduct of compliance reviews, each compliance review report </w:t>
      </w:r>
      <w:r w:rsidR="00262920" w:rsidRPr="00792115">
        <w:rPr>
          <w:rFonts w:ascii="Times New Roman" w:hAnsi="Times New Roman" w:cs="Times New Roman"/>
          <w:b w:val="0"/>
          <w:color w:val="000000" w:themeColor="text1"/>
          <w:sz w:val="24"/>
          <w:szCs w:val="24"/>
        </w:rPr>
        <w:t>ought to</w:t>
      </w:r>
      <w:r w:rsidRPr="00792115">
        <w:rPr>
          <w:rFonts w:ascii="Times New Roman" w:hAnsi="Times New Roman" w:cs="Times New Roman"/>
          <w:b w:val="0"/>
          <w:color w:val="000000" w:themeColor="text1"/>
          <w:sz w:val="24"/>
          <w:szCs w:val="24"/>
        </w:rPr>
        <w:t xml:space="preserve"> be submitted to the branch head of the newly constituted branch for approval</w:t>
      </w:r>
      <w:r w:rsidR="00262920" w:rsidRPr="00792115">
        <w:rPr>
          <w:rFonts w:ascii="Times New Roman" w:hAnsi="Times New Roman" w:cs="Times New Roman"/>
          <w:b w:val="0"/>
          <w:color w:val="000000" w:themeColor="text1"/>
          <w:sz w:val="24"/>
          <w:szCs w:val="24"/>
        </w:rPr>
        <w:t xml:space="preserve"> before its release both to the clients and to the public</w:t>
      </w:r>
      <w:r w:rsidRPr="00792115">
        <w:rPr>
          <w:rFonts w:ascii="Times New Roman" w:hAnsi="Times New Roman" w:cs="Times New Roman"/>
          <w:b w:val="0"/>
          <w:color w:val="000000" w:themeColor="text1"/>
          <w:sz w:val="24"/>
          <w:szCs w:val="24"/>
        </w:rPr>
        <w:t>.</w:t>
      </w:r>
      <w:r w:rsidR="00895236" w:rsidRPr="00792115">
        <w:rPr>
          <w:rFonts w:ascii="Times New Roman" w:hAnsi="Times New Roman" w:cs="Times New Roman"/>
          <w:b w:val="0"/>
          <w:color w:val="000000" w:themeColor="text1"/>
          <w:sz w:val="24"/>
          <w:szCs w:val="24"/>
        </w:rPr>
        <w:t xml:space="preserve">  </w:t>
      </w:r>
      <w:r w:rsidRPr="00792115">
        <w:rPr>
          <w:rFonts w:ascii="Times New Roman" w:hAnsi="Times New Roman" w:cs="Times New Roman"/>
          <w:b w:val="0"/>
          <w:color w:val="000000" w:themeColor="text1"/>
          <w:sz w:val="24"/>
          <w:szCs w:val="24"/>
        </w:rPr>
        <w:t xml:space="preserve">This will place the Commission in a position where it can confidently attest to the information it makes public and </w:t>
      </w:r>
      <w:r w:rsidR="00262920" w:rsidRPr="00792115">
        <w:rPr>
          <w:rFonts w:ascii="Times New Roman" w:hAnsi="Times New Roman" w:cs="Times New Roman"/>
          <w:b w:val="0"/>
          <w:color w:val="000000" w:themeColor="text1"/>
          <w:sz w:val="24"/>
          <w:szCs w:val="24"/>
        </w:rPr>
        <w:t>is a prudent safeguard against any suggestion of political partiality, given the sensitivity associated with compliance review activity</w:t>
      </w:r>
      <w:r w:rsidR="00B00313" w:rsidRPr="00792115">
        <w:rPr>
          <w:rFonts w:ascii="Times New Roman" w:hAnsi="Times New Roman" w:cs="Times New Roman"/>
          <w:b w:val="0"/>
          <w:color w:val="000000" w:themeColor="text1"/>
          <w:sz w:val="24"/>
          <w:szCs w:val="24"/>
        </w:rPr>
        <w:t>.</w:t>
      </w:r>
      <w:r w:rsidR="00262920" w:rsidRPr="00775444">
        <w:rPr>
          <w:rStyle w:val="FootnoteReference"/>
          <w:rFonts w:ascii="Times New Roman" w:hAnsi="Times New Roman" w:cs="Times New Roman"/>
          <w:b w:val="0"/>
          <w:color w:val="000000" w:themeColor="text1"/>
          <w:sz w:val="24"/>
          <w:szCs w:val="24"/>
        </w:rPr>
        <w:footnoteReference w:id="33"/>
      </w:r>
      <w:bookmarkEnd w:id="89"/>
    </w:p>
    <w:p w:rsidR="001E3E7B" w:rsidRPr="00775444" w:rsidRDefault="001E3E7B" w:rsidP="00775444">
      <w:pPr>
        <w:pStyle w:val="Heading2"/>
        <w:numPr>
          <w:ilvl w:val="1"/>
          <w:numId w:val="21"/>
        </w:numPr>
        <w:ind w:left="567" w:hanging="567"/>
        <w:rPr>
          <w:rFonts w:ascii="Times New Roman" w:hAnsi="Times New Roman" w:cs="Times New Roman"/>
          <w:b w:val="0"/>
          <w:color w:val="000000" w:themeColor="text1"/>
          <w:sz w:val="24"/>
          <w:szCs w:val="24"/>
        </w:rPr>
      </w:pPr>
      <w:bookmarkStart w:id="90" w:name="_Toc339540922"/>
      <w:r w:rsidRPr="00775444">
        <w:rPr>
          <w:rFonts w:ascii="Times New Roman" w:hAnsi="Times New Roman" w:cs="Times New Roman"/>
          <w:b w:val="0"/>
          <w:color w:val="000000" w:themeColor="text1"/>
          <w:sz w:val="24"/>
          <w:szCs w:val="24"/>
        </w:rPr>
        <w:t>The review considers that there is a need in a newly constituted branch for there to be a capaci</w:t>
      </w:r>
      <w:r w:rsidR="005B57A0">
        <w:rPr>
          <w:rFonts w:ascii="Times New Roman" w:hAnsi="Times New Roman" w:cs="Times New Roman"/>
          <w:b w:val="0"/>
          <w:color w:val="000000" w:themeColor="text1"/>
          <w:sz w:val="24"/>
          <w:szCs w:val="24"/>
        </w:rPr>
        <w:t xml:space="preserve">ty for longer term research, </w:t>
      </w:r>
      <w:r w:rsidRPr="00775444">
        <w:rPr>
          <w:rFonts w:ascii="Times New Roman" w:hAnsi="Times New Roman" w:cs="Times New Roman"/>
          <w:b w:val="0"/>
          <w:color w:val="000000" w:themeColor="text1"/>
          <w:sz w:val="24"/>
          <w:szCs w:val="24"/>
        </w:rPr>
        <w:t>analysis and policy reform covering the FAD functions.  To date this has come from</w:t>
      </w:r>
      <w:r w:rsidR="00895236" w:rsidRPr="00775444">
        <w:rPr>
          <w:rFonts w:ascii="Times New Roman" w:hAnsi="Times New Roman" w:cs="Times New Roman"/>
          <w:b w:val="0"/>
          <w:color w:val="000000" w:themeColor="text1"/>
          <w:sz w:val="24"/>
          <w:szCs w:val="24"/>
        </w:rPr>
        <w:t xml:space="preserve"> one of</w:t>
      </w:r>
      <w:r w:rsidRPr="00775444">
        <w:rPr>
          <w:rFonts w:ascii="Times New Roman" w:hAnsi="Times New Roman" w:cs="Times New Roman"/>
          <w:b w:val="0"/>
          <w:color w:val="000000" w:themeColor="text1"/>
          <w:sz w:val="24"/>
          <w:szCs w:val="24"/>
        </w:rPr>
        <w:t xml:space="preserve"> the section heads on an ad hoc basis.  Under new arrangements it is considered that a dedicated position for this purpose should be established either in the new FAD branch or in the Strategic Capability Branch.  This is an issue for the Commission to decide but the inclination of the review is that for at least until new arrangements have been developed and bedded down, the preferred location would be in the FAD Branch itself.</w:t>
      </w:r>
      <w:bookmarkEnd w:id="90"/>
      <w:r w:rsidRPr="00775444">
        <w:rPr>
          <w:rFonts w:ascii="Times New Roman" w:hAnsi="Times New Roman" w:cs="Times New Roman"/>
          <w:b w:val="0"/>
          <w:color w:val="000000" w:themeColor="text1"/>
          <w:sz w:val="24"/>
          <w:szCs w:val="24"/>
        </w:rPr>
        <w:t xml:space="preserve">   </w:t>
      </w:r>
    </w:p>
    <w:p w:rsidR="00FA7BF6" w:rsidRPr="0096777D" w:rsidRDefault="001E3E7B" w:rsidP="00FA7BF6">
      <w:pPr>
        <w:pStyle w:val="Heading2"/>
        <w:numPr>
          <w:ilvl w:val="1"/>
          <w:numId w:val="21"/>
        </w:numPr>
        <w:ind w:left="567" w:hanging="567"/>
        <w:rPr>
          <w:rFonts w:ascii="Times New Roman" w:hAnsi="Times New Roman" w:cs="Times New Roman"/>
          <w:b w:val="0"/>
          <w:color w:val="000000" w:themeColor="text1"/>
          <w:sz w:val="24"/>
          <w:szCs w:val="24"/>
        </w:rPr>
      </w:pPr>
      <w:bookmarkStart w:id="91" w:name="_Toc339540923"/>
      <w:r w:rsidRPr="00775444">
        <w:rPr>
          <w:rFonts w:ascii="Times New Roman" w:hAnsi="Times New Roman" w:cs="Times New Roman"/>
          <w:b w:val="0"/>
          <w:color w:val="000000" w:themeColor="text1"/>
          <w:sz w:val="24"/>
          <w:szCs w:val="24"/>
        </w:rPr>
        <w:t xml:space="preserve">While there is the option of placing the two FAD sections under the control of another existing branch head, thus avoiding the need to create another SES position, this is not favoured.  It would only perpetuate the sense of alienation the FAD staff has always felt due to its functions and culture being different to those involved in mainstream electoral related matters. </w:t>
      </w:r>
      <w:r w:rsidR="00B7403B" w:rsidRPr="00775444">
        <w:rPr>
          <w:rFonts w:ascii="Times New Roman" w:hAnsi="Times New Roman" w:cs="Times New Roman"/>
          <w:b w:val="0"/>
          <w:color w:val="000000" w:themeColor="text1"/>
          <w:sz w:val="24"/>
          <w:szCs w:val="24"/>
        </w:rPr>
        <w:t>More importantly, it would not provide the dedicated leadership necessary in a politically sensitive area that will be heavily involved in a significant change management program</w:t>
      </w:r>
      <w:r w:rsidRPr="00775444">
        <w:rPr>
          <w:rFonts w:ascii="Times New Roman" w:hAnsi="Times New Roman" w:cs="Times New Roman"/>
          <w:b w:val="0"/>
          <w:color w:val="000000" w:themeColor="text1"/>
          <w:sz w:val="24"/>
          <w:szCs w:val="24"/>
        </w:rPr>
        <w:t>.</w:t>
      </w:r>
      <w:bookmarkEnd w:id="91"/>
      <w:r w:rsidRPr="00775444">
        <w:rPr>
          <w:rFonts w:ascii="Times New Roman" w:hAnsi="Times New Roman" w:cs="Times New Roman"/>
          <w:b w:val="0"/>
          <w:color w:val="000000" w:themeColor="text1"/>
          <w:sz w:val="24"/>
          <w:szCs w:val="24"/>
        </w:rPr>
        <w:t xml:space="preserve">  </w:t>
      </w:r>
    </w:p>
    <w:p w:rsidR="004440F4" w:rsidRPr="00FF61A6" w:rsidRDefault="004440F4" w:rsidP="004440F4">
      <w:pPr>
        <w:pStyle w:val="Heading3"/>
        <w:rPr>
          <w:rFonts w:ascii="Times New Roman" w:hAnsi="Times New Roman" w:cs="Times New Roman"/>
          <w:color w:val="auto"/>
        </w:rPr>
      </w:pPr>
      <w:bookmarkStart w:id="92" w:name="_Toc339540924"/>
      <w:r w:rsidRPr="00FF61A6">
        <w:rPr>
          <w:rFonts w:ascii="Times New Roman" w:hAnsi="Times New Roman" w:cs="Times New Roman"/>
          <w:color w:val="auto"/>
        </w:rPr>
        <w:t>Recommendation 3:</w:t>
      </w:r>
      <w:bookmarkEnd w:id="92"/>
    </w:p>
    <w:p w:rsidR="004440F4" w:rsidRPr="004440F4" w:rsidRDefault="004440F4" w:rsidP="004440F4">
      <w:pPr>
        <w:rPr>
          <w:rFonts w:ascii="Times New Roman" w:hAnsi="Times New Roman" w:cs="Times New Roman"/>
          <w:b/>
          <w:sz w:val="24"/>
          <w:szCs w:val="24"/>
        </w:rPr>
      </w:pPr>
      <w:r w:rsidRPr="00E44CDE">
        <w:rPr>
          <w:rFonts w:ascii="Times New Roman" w:hAnsi="Times New Roman" w:cs="Times New Roman"/>
          <w:b/>
          <w:sz w:val="24"/>
          <w:szCs w:val="24"/>
        </w:rPr>
        <w:t xml:space="preserve">A new branch should be established to </w:t>
      </w:r>
      <w:r>
        <w:rPr>
          <w:rFonts w:ascii="Times New Roman" w:hAnsi="Times New Roman" w:cs="Times New Roman"/>
          <w:b/>
          <w:sz w:val="24"/>
          <w:szCs w:val="24"/>
        </w:rPr>
        <w:t>encompass t</w:t>
      </w:r>
      <w:r w:rsidRPr="00E44CDE">
        <w:rPr>
          <w:rFonts w:ascii="Times New Roman" w:hAnsi="Times New Roman" w:cs="Times New Roman"/>
          <w:b/>
          <w:sz w:val="24"/>
          <w:szCs w:val="24"/>
        </w:rPr>
        <w:t xml:space="preserve">he party registration, </w:t>
      </w:r>
      <w:r>
        <w:rPr>
          <w:rFonts w:ascii="Times New Roman" w:hAnsi="Times New Roman" w:cs="Times New Roman"/>
          <w:b/>
          <w:sz w:val="24"/>
          <w:szCs w:val="24"/>
        </w:rPr>
        <w:t xml:space="preserve">political </w:t>
      </w:r>
      <w:r w:rsidRPr="00E44CDE">
        <w:rPr>
          <w:rFonts w:ascii="Times New Roman" w:hAnsi="Times New Roman" w:cs="Times New Roman"/>
          <w:b/>
          <w:sz w:val="24"/>
          <w:szCs w:val="24"/>
        </w:rPr>
        <w:t>funding</w:t>
      </w:r>
      <w:r>
        <w:rPr>
          <w:rFonts w:ascii="Times New Roman" w:hAnsi="Times New Roman" w:cs="Times New Roman"/>
          <w:b/>
          <w:sz w:val="24"/>
          <w:szCs w:val="24"/>
        </w:rPr>
        <w:t xml:space="preserve">, public </w:t>
      </w:r>
      <w:r w:rsidRPr="00E44CDE">
        <w:rPr>
          <w:rFonts w:ascii="Times New Roman" w:hAnsi="Times New Roman" w:cs="Times New Roman"/>
          <w:b/>
          <w:sz w:val="24"/>
          <w:szCs w:val="24"/>
        </w:rPr>
        <w:t xml:space="preserve">disclosure and </w:t>
      </w:r>
      <w:r>
        <w:rPr>
          <w:rFonts w:ascii="Times New Roman" w:hAnsi="Times New Roman" w:cs="Times New Roman"/>
          <w:b/>
          <w:sz w:val="24"/>
          <w:szCs w:val="24"/>
        </w:rPr>
        <w:t xml:space="preserve">related </w:t>
      </w:r>
      <w:r w:rsidRPr="00E44CDE">
        <w:rPr>
          <w:rFonts w:ascii="Times New Roman" w:hAnsi="Times New Roman" w:cs="Times New Roman"/>
          <w:b/>
          <w:sz w:val="24"/>
          <w:szCs w:val="24"/>
        </w:rPr>
        <w:t>compliance functions of the Commission</w:t>
      </w:r>
      <w:r>
        <w:rPr>
          <w:rFonts w:ascii="Times New Roman" w:hAnsi="Times New Roman" w:cs="Times New Roman"/>
          <w:b/>
          <w:sz w:val="24"/>
          <w:szCs w:val="24"/>
        </w:rPr>
        <w:t xml:space="preserve">. The occupant of the </w:t>
      </w:r>
      <w:r w:rsidRPr="00E44CDE">
        <w:rPr>
          <w:rFonts w:ascii="Times New Roman" w:hAnsi="Times New Roman" w:cs="Times New Roman"/>
          <w:b/>
          <w:sz w:val="24"/>
          <w:szCs w:val="24"/>
        </w:rPr>
        <w:t>new SES position</w:t>
      </w:r>
      <w:r>
        <w:rPr>
          <w:rFonts w:ascii="Times New Roman" w:hAnsi="Times New Roman" w:cs="Times New Roman"/>
          <w:b/>
          <w:sz w:val="24"/>
          <w:szCs w:val="24"/>
        </w:rPr>
        <w:t xml:space="preserve"> would provide dedicated leadership to the group and in particular would pursue the closer integration of its work and the future development and redirection of the focus of the compliance review function. </w:t>
      </w:r>
    </w:p>
    <w:p w:rsidR="0096777D" w:rsidRPr="00041FBC" w:rsidRDefault="001E3E7B" w:rsidP="0096777D">
      <w:pPr>
        <w:pStyle w:val="Heading2"/>
        <w:numPr>
          <w:ilvl w:val="1"/>
          <w:numId w:val="21"/>
        </w:numPr>
        <w:ind w:left="567" w:hanging="567"/>
        <w:rPr>
          <w:rFonts w:ascii="Times New Roman" w:hAnsi="Times New Roman" w:cs="Times New Roman"/>
          <w:b w:val="0"/>
          <w:color w:val="000000" w:themeColor="text1"/>
          <w:sz w:val="24"/>
          <w:szCs w:val="24"/>
        </w:rPr>
      </w:pPr>
      <w:bookmarkStart w:id="93" w:name="_Toc339540925"/>
      <w:r w:rsidRPr="00775444">
        <w:rPr>
          <w:rFonts w:ascii="Times New Roman" w:hAnsi="Times New Roman" w:cs="Times New Roman"/>
          <w:b w:val="0"/>
          <w:color w:val="000000" w:themeColor="text1"/>
          <w:sz w:val="24"/>
          <w:szCs w:val="24"/>
        </w:rPr>
        <w:t>Adoption of this recommendation will have consequential implications for the organisational placement of the remaining elements of the current Legal and Compliance Branch.  This review makes no recommendations in this regard.</w:t>
      </w:r>
      <w:bookmarkEnd w:id="93"/>
    </w:p>
    <w:p w:rsidR="00041FBC" w:rsidRDefault="00C2718F" w:rsidP="008637DD">
      <w:pPr>
        <w:pStyle w:val="Heading2"/>
        <w:numPr>
          <w:ilvl w:val="1"/>
          <w:numId w:val="21"/>
        </w:numPr>
        <w:ind w:left="567" w:hanging="567"/>
        <w:rPr>
          <w:rFonts w:ascii="Times New Roman" w:hAnsi="Times New Roman" w:cs="Times New Roman"/>
          <w:b w:val="0"/>
          <w:color w:val="000000" w:themeColor="text1"/>
          <w:sz w:val="24"/>
          <w:szCs w:val="24"/>
        </w:rPr>
      </w:pPr>
      <w:bookmarkStart w:id="94" w:name="_Toc339540926"/>
      <w:r>
        <w:rPr>
          <w:rFonts w:ascii="Times New Roman" w:hAnsi="Times New Roman" w:cs="Times New Roman"/>
          <w:b w:val="0"/>
          <w:color w:val="000000" w:themeColor="text1"/>
          <w:sz w:val="24"/>
          <w:szCs w:val="24"/>
        </w:rPr>
        <w:t>Aside from the establishment of a dedicated FAD branch, an immediate</w:t>
      </w:r>
      <w:r w:rsidR="008637DD">
        <w:rPr>
          <w:rFonts w:ascii="Times New Roman" w:hAnsi="Times New Roman" w:cs="Times New Roman"/>
          <w:b w:val="0"/>
          <w:color w:val="000000" w:themeColor="text1"/>
          <w:sz w:val="24"/>
          <w:szCs w:val="24"/>
        </w:rPr>
        <w:t xml:space="preserve"> priority </w:t>
      </w:r>
      <w:r w:rsidR="00096F27">
        <w:rPr>
          <w:rFonts w:ascii="Times New Roman" w:hAnsi="Times New Roman" w:cs="Times New Roman"/>
          <w:b w:val="0"/>
          <w:color w:val="000000" w:themeColor="text1"/>
          <w:sz w:val="24"/>
          <w:szCs w:val="24"/>
        </w:rPr>
        <w:t xml:space="preserve">is </w:t>
      </w:r>
      <w:r w:rsidR="00100676">
        <w:rPr>
          <w:rFonts w:ascii="Times New Roman" w:hAnsi="Times New Roman" w:cs="Times New Roman"/>
          <w:b w:val="0"/>
          <w:color w:val="000000" w:themeColor="text1"/>
          <w:sz w:val="24"/>
          <w:szCs w:val="24"/>
        </w:rPr>
        <w:t xml:space="preserve">the need to link the </w:t>
      </w:r>
      <w:r w:rsidR="008637DD">
        <w:rPr>
          <w:rFonts w:ascii="Times New Roman" w:hAnsi="Times New Roman" w:cs="Times New Roman"/>
          <w:b w:val="0"/>
          <w:color w:val="000000" w:themeColor="text1"/>
          <w:sz w:val="24"/>
          <w:szCs w:val="24"/>
        </w:rPr>
        <w:t>direct accountability of the function to the agency’s Senior Executive</w:t>
      </w:r>
      <w:r w:rsidR="00100676">
        <w:rPr>
          <w:rFonts w:ascii="Times New Roman" w:hAnsi="Times New Roman" w:cs="Times New Roman"/>
          <w:b w:val="0"/>
          <w:color w:val="000000" w:themeColor="text1"/>
          <w:sz w:val="24"/>
          <w:szCs w:val="24"/>
        </w:rPr>
        <w:t xml:space="preserve"> reporting scheme</w:t>
      </w:r>
      <w:r w:rsidR="00096F27">
        <w:rPr>
          <w:rFonts w:ascii="Times New Roman" w:hAnsi="Times New Roman" w:cs="Times New Roman"/>
          <w:b w:val="0"/>
          <w:color w:val="000000" w:themeColor="text1"/>
          <w:sz w:val="24"/>
          <w:szCs w:val="24"/>
        </w:rPr>
        <w:t xml:space="preserve">.  </w:t>
      </w:r>
    </w:p>
    <w:p w:rsidR="00041FBC" w:rsidRPr="00041FBC" w:rsidRDefault="00041FBC" w:rsidP="00041FBC"/>
    <w:p w:rsidR="008637DD" w:rsidRDefault="00100676" w:rsidP="008637DD">
      <w:pPr>
        <w:pStyle w:val="Heading2"/>
        <w:numPr>
          <w:ilvl w:val="1"/>
          <w:numId w:val="21"/>
        </w:numPr>
        <w:ind w:left="567" w:hanging="567"/>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A</w:t>
      </w:r>
      <w:r w:rsidR="008637DD">
        <w:rPr>
          <w:rFonts w:ascii="Times New Roman" w:hAnsi="Times New Roman" w:cs="Times New Roman"/>
          <w:b w:val="0"/>
          <w:color w:val="000000" w:themeColor="text1"/>
          <w:sz w:val="24"/>
          <w:szCs w:val="24"/>
        </w:rPr>
        <w:t xml:space="preserve"> monthly ‘Balanced Scorecard’ that goes to the Executive for consideration </w:t>
      </w:r>
      <w:r>
        <w:rPr>
          <w:rFonts w:ascii="Times New Roman" w:hAnsi="Times New Roman" w:cs="Times New Roman"/>
          <w:b w:val="0"/>
          <w:color w:val="000000" w:themeColor="text1"/>
          <w:sz w:val="24"/>
          <w:szCs w:val="24"/>
        </w:rPr>
        <w:t>covering</w:t>
      </w:r>
      <w:r w:rsidR="00400288">
        <w:rPr>
          <w:rFonts w:ascii="Times New Roman" w:hAnsi="Times New Roman" w:cs="Times New Roman"/>
          <w:b w:val="0"/>
          <w:color w:val="000000" w:themeColor="text1"/>
          <w:sz w:val="24"/>
          <w:szCs w:val="24"/>
        </w:rPr>
        <w:t xml:space="preserve"> all other business areas of the agency, such as Enrolment and Elections</w:t>
      </w:r>
      <w:r w:rsidR="008637DD">
        <w:rPr>
          <w:rFonts w:ascii="Times New Roman" w:hAnsi="Times New Roman" w:cs="Times New Roman"/>
          <w:b w:val="0"/>
          <w:color w:val="000000" w:themeColor="text1"/>
          <w:sz w:val="24"/>
          <w:szCs w:val="24"/>
        </w:rPr>
        <w:t xml:space="preserve">.  The party registration area within FAD </w:t>
      </w:r>
      <w:r>
        <w:rPr>
          <w:rFonts w:ascii="Times New Roman" w:hAnsi="Times New Roman" w:cs="Times New Roman"/>
          <w:b w:val="0"/>
          <w:color w:val="000000" w:themeColor="text1"/>
          <w:sz w:val="24"/>
          <w:szCs w:val="24"/>
        </w:rPr>
        <w:t>is included in</w:t>
      </w:r>
      <w:r w:rsidR="008637DD">
        <w:rPr>
          <w:rFonts w:ascii="Times New Roman" w:hAnsi="Times New Roman" w:cs="Times New Roman"/>
          <w:b w:val="0"/>
          <w:color w:val="000000" w:themeColor="text1"/>
          <w:sz w:val="24"/>
          <w:szCs w:val="24"/>
        </w:rPr>
        <w:t xml:space="preserve"> the Balanced Scorecard, but the disclosure and compliance areas </w:t>
      </w:r>
      <w:r w:rsidR="00400288">
        <w:rPr>
          <w:rFonts w:ascii="Times New Roman" w:hAnsi="Times New Roman" w:cs="Times New Roman"/>
          <w:b w:val="0"/>
          <w:color w:val="000000" w:themeColor="text1"/>
          <w:sz w:val="24"/>
          <w:szCs w:val="24"/>
        </w:rPr>
        <w:t xml:space="preserve">currently </w:t>
      </w:r>
      <w:r w:rsidR="00A87CC9">
        <w:rPr>
          <w:rFonts w:ascii="Times New Roman" w:hAnsi="Times New Roman" w:cs="Times New Roman"/>
          <w:b w:val="0"/>
          <w:color w:val="000000" w:themeColor="text1"/>
          <w:sz w:val="24"/>
          <w:szCs w:val="24"/>
        </w:rPr>
        <w:t>are</w:t>
      </w:r>
      <w:r w:rsidR="008637DD">
        <w:rPr>
          <w:rFonts w:ascii="Times New Roman" w:hAnsi="Times New Roman" w:cs="Times New Roman"/>
          <w:b w:val="0"/>
          <w:color w:val="000000" w:themeColor="text1"/>
          <w:sz w:val="24"/>
          <w:szCs w:val="24"/>
        </w:rPr>
        <w:t xml:space="preserve"> not.  Th</w:t>
      </w:r>
      <w:r>
        <w:rPr>
          <w:rFonts w:ascii="Times New Roman" w:hAnsi="Times New Roman" w:cs="Times New Roman"/>
          <w:b w:val="0"/>
          <w:color w:val="000000" w:themeColor="text1"/>
          <w:sz w:val="24"/>
          <w:szCs w:val="24"/>
        </w:rPr>
        <w:t xml:space="preserve">eir inclusion </w:t>
      </w:r>
      <w:r w:rsidR="008637DD">
        <w:rPr>
          <w:rFonts w:ascii="Times New Roman" w:hAnsi="Times New Roman" w:cs="Times New Roman"/>
          <w:b w:val="0"/>
          <w:color w:val="000000" w:themeColor="text1"/>
          <w:sz w:val="24"/>
          <w:szCs w:val="24"/>
        </w:rPr>
        <w:t>would increase direct Senior Executive engagement</w:t>
      </w:r>
      <w:r>
        <w:rPr>
          <w:rFonts w:ascii="Times New Roman" w:hAnsi="Times New Roman" w:cs="Times New Roman"/>
          <w:b w:val="0"/>
          <w:color w:val="000000" w:themeColor="text1"/>
          <w:sz w:val="24"/>
          <w:szCs w:val="24"/>
        </w:rPr>
        <w:t>, support</w:t>
      </w:r>
      <w:r w:rsidR="008637DD">
        <w:rPr>
          <w:rFonts w:ascii="Times New Roman" w:hAnsi="Times New Roman" w:cs="Times New Roman"/>
          <w:b w:val="0"/>
          <w:color w:val="000000" w:themeColor="text1"/>
          <w:sz w:val="24"/>
          <w:szCs w:val="24"/>
        </w:rPr>
        <w:t xml:space="preserve"> </w:t>
      </w:r>
      <w:r w:rsidR="00C37724">
        <w:rPr>
          <w:rFonts w:ascii="Times New Roman" w:hAnsi="Times New Roman" w:cs="Times New Roman"/>
          <w:b w:val="0"/>
          <w:color w:val="000000" w:themeColor="text1"/>
          <w:sz w:val="24"/>
          <w:szCs w:val="24"/>
        </w:rPr>
        <w:t>and oversight of</w:t>
      </w:r>
      <w:r w:rsidR="008637DD">
        <w:rPr>
          <w:rFonts w:ascii="Times New Roman" w:hAnsi="Times New Roman" w:cs="Times New Roman"/>
          <w:b w:val="0"/>
          <w:color w:val="000000" w:themeColor="text1"/>
          <w:sz w:val="24"/>
          <w:szCs w:val="24"/>
        </w:rPr>
        <w:t xml:space="preserve"> the area </w:t>
      </w:r>
      <w:r w:rsidR="00A87CC9">
        <w:rPr>
          <w:rFonts w:ascii="Times New Roman" w:hAnsi="Times New Roman" w:cs="Times New Roman"/>
          <w:b w:val="0"/>
          <w:color w:val="000000" w:themeColor="text1"/>
          <w:sz w:val="24"/>
          <w:szCs w:val="24"/>
        </w:rPr>
        <w:t xml:space="preserve">and </w:t>
      </w:r>
      <w:r w:rsidR="002155C0">
        <w:rPr>
          <w:rFonts w:ascii="Times New Roman" w:hAnsi="Times New Roman" w:cs="Times New Roman"/>
          <w:b w:val="0"/>
          <w:color w:val="000000" w:themeColor="text1"/>
          <w:sz w:val="24"/>
          <w:szCs w:val="24"/>
        </w:rPr>
        <w:t xml:space="preserve">would provide a regular accountability mechanism </w:t>
      </w:r>
      <w:r w:rsidR="00C37724">
        <w:rPr>
          <w:rFonts w:ascii="Times New Roman" w:hAnsi="Times New Roman" w:cs="Times New Roman"/>
          <w:b w:val="0"/>
          <w:color w:val="000000" w:themeColor="text1"/>
          <w:sz w:val="24"/>
          <w:szCs w:val="24"/>
        </w:rPr>
        <w:t>consistent with what applies elsewhere in the Commission</w:t>
      </w:r>
      <w:r w:rsidR="00770FFC">
        <w:rPr>
          <w:rFonts w:ascii="Times New Roman" w:hAnsi="Times New Roman" w:cs="Times New Roman"/>
          <w:b w:val="0"/>
          <w:color w:val="000000" w:themeColor="text1"/>
          <w:sz w:val="24"/>
          <w:szCs w:val="24"/>
        </w:rPr>
        <w:t xml:space="preserve">.  </w:t>
      </w:r>
      <w:r w:rsidR="00C37724">
        <w:rPr>
          <w:rFonts w:ascii="Times New Roman" w:hAnsi="Times New Roman" w:cs="Times New Roman"/>
          <w:b w:val="0"/>
          <w:color w:val="000000" w:themeColor="text1"/>
          <w:sz w:val="24"/>
          <w:szCs w:val="24"/>
        </w:rPr>
        <w:t>A</w:t>
      </w:r>
      <w:r w:rsidR="002155C0">
        <w:rPr>
          <w:rFonts w:ascii="Times New Roman" w:hAnsi="Times New Roman" w:cs="Times New Roman"/>
          <w:b w:val="0"/>
          <w:color w:val="000000" w:themeColor="text1"/>
          <w:sz w:val="24"/>
          <w:szCs w:val="24"/>
        </w:rPr>
        <w:t xml:space="preserve"> set of meaningful, measurable indicators </w:t>
      </w:r>
      <w:r w:rsidR="00C37724">
        <w:rPr>
          <w:rFonts w:ascii="Times New Roman" w:hAnsi="Times New Roman" w:cs="Times New Roman"/>
          <w:b w:val="0"/>
          <w:color w:val="000000" w:themeColor="text1"/>
          <w:sz w:val="24"/>
          <w:szCs w:val="24"/>
        </w:rPr>
        <w:t xml:space="preserve">need to be developed </w:t>
      </w:r>
      <w:r w:rsidR="002155C0">
        <w:rPr>
          <w:rFonts w:ascii="Times New Roman" w:hAnsi="Times New Roman" w:cs="Times New Roman"/>
          <w:b w:val="0"/>
          <w:color w:val="000000" w:themeColor="text1"/>
          <w:sz w:val="24"/>
          <w:szCs w:val="24"/>
        </w:rPr>
        <w:t xml:space="preserve">for inclusion on the </w:t>
      </w:r>
      <w:r w:rsidR="00C37724">
        <w:rPr>
          <w:rFonts w:ascii="Times New Roman" w:hAnsi="Times New Roman" w:cs="Times New Roman"/>
          <w:b w:val="0"/>
          <w:color w:val="000000" w:themeColor="text1"/>
          <w:sz w:val="24"/>
          <w:szCs w:val="24"/>
        </w:rPr>
        <w:t xml:space="preserve">Commission’s corporate </w:t>
      </w:r>
      <w:r w:rsidR="002155C0">
        <w:rPr>
          <w:rFonts w:ascii="Times New Roman" w:hAnsi="Times New Roman" w:cs="Times New Roman"/>
          <w:b w:val="0"/>
          <w:color w:val="000000" w:themeColor="text1"/>
          <w:sz w:val="24"/>
          <w:szCs w:val="24"/>
        </w:rPr>
        <w:t xml:space="preserve">Balanced Scorecard.  As a starting point, some </w:t>
      </w:r>
      <w:r>
        <w:rPr>
          <w:rFonts w:ascii="Times New Roman" w:hAnsi="Times New Roman" w:cs="Times New Roman"/>
          <w:b w:val="0"/>
          <w:color w:val="000000" w:themeColor="text1"/>
          <w:sz w:val="24"/>
          <w:szCs w:val="24"/>
        </w:rPr>
        <w:t>items for inclusion</w:t>
      </w:r>
      <w:r w:rsidR="002155C0">
        <w:rPr>
          <w:rFonts w:ascii="Times New Roman" w:hAnsi="Times New Roman" w:cs="Times New Roman"/>
          <w:b w:val="0"/>
          <w:color w:val="000000" w:themeColor="text1"/>
          <w:sz w:val="24"/>
          <w:szCs w:val="24"/>
        </w:rPr>
        <w:t xml:space="preserve"> might be</w:t>
      </w:r>
      <w:r w:rsidR="00C37724">
        <w:rPr>
          <w:rFonts w:ascii="Times New Roman" w:hAnsi="Times New Roman" w:cs="Times New Roman"/>
          <w:b w:val="0"/>
          <w:color w:val="000000" w:themeColor="text1"/>
          <w:sz w:val="24"/>
          <w:szCs w:val="24"/>
        </w:rPr>
        <w:t>:</w:t>
      </w:r>
      <w:r w:rsidR="00770FFC">
        <w:rPr>
          <w:rStyle w:val="FootnoteReference"/>
          <w:rFonts w:ascii="Times New Roman" w:hAnsi="Times New Roman" w:cs="Times New Roman"/>
          <w:b w:val="0"/>
          <w:color w:val="000000" w:themeColor="text1"/>
          <w:sz w:val="24"/>
          <w:szCs w:val="24"/>
        </w:rPr>
        <w:footnoteReference w:id="34"/>
      </w:r>
      <w:bookmarkEnd w:id="94"/>
    </w:p>
    <w:p w:rsidR="002155C0" w:rsidRDefault="002155C0" w:rsidP="00770FFC">
      <w:pPr>
        <w:spacing w:after="0"/>
      </w:pPr>
    </w:p>
    <w:p w:rsidR="002155C0" w:rsidRPr="00770FFC" w:rsidRDefault="002155C0" w:rsidP="002155C0">
      <w:pPr>
        <w:pStyle w:val="ListParagraph"/>
        <w:numPr>
          <w:ilvl w:val="0"/>
          <w:numId w:val="41"/>
        </w:numPr>
      </w:pPr>
      <w:r>
        <w:rPr>
          <w:rFonts w:ascii="Times New Roman" w:hAnsi="Times New Roman" w:cs="Times New Roman"/>
          <w:sz w:val="24"/>
          <w:szCs w:val="24"/>
        </w:rPr>
        <w:t>Number of disclosure returns lodged electronical</w:t>
      </w:r>
      <w:r w:rsidR="00770FFC">
        <w:rPr>
          <w:rFonts w:ascii="Times New Roman" w:hAnsi="Times New Roman" w:cs="Times New Roman"/>
          <w:sz w:val="24"/>
          <w:szCs w:val="24"/>
        </w:rPr>
        <w:t>ly (where relevant);</w:t>
      </w:r>
    </w:p>
    <w:p w:rsidR="00770FFC" w:rsidRDefault="00770FFC" w:rsidP="002155C0">
      <w:pPr>
        <w:pStyle w:val="ListParagraph"/>
        <w:numPr>
          <w:ilvl w:val="0"/>
          <w:numId w:val="41"/>
        </w:numPr>
      </w:pPr>
      <w:r>
        <w:rPr>
          <w:rFonts w:ascii="Times New Roman" w:hAnsi="Times New Roman" w:cs="Times New Roman"/>
          <w:sz w:val="24"/>
          <w:szCs w:val="24"/>
        </w:rPr>
        <w:t>Number of hard copy returns lodged (where relevant);</w:t>
      </w:r>
    </w:p>
    <w:p w:rsidR="002155C0" w:rsidRPr="002155C0" w:rsidRDefault="002155C0" w:rsidP="002155C0">
      <w:pPr>
        <w:pStyle w:val="ListParagraph"/>
        <w:numPr>
          <w:ilvl w:val="0"/>
          <w:numId w:val="40"/>
        </w:numPr>
      </w:pPr>
      <w:r>
        <w:rPr>
          <w:rFonts w:ascii="Times New Roman" w:hAnsi="Times New Roman" w:cs="Times New Roman"/>
          <w:sz w:val="24"/>
          <w:szCs w:val="24"/>
        </w:rPr>
        <w:t>Number of compliance reviews incomplete at beginning of the month;</w:t>
      </w:r>
    </w:p>
    <w:p w:rsidR="002155C0" w:rsidRPr="002155C0" w:rsidRDefault="002155C0" w:rsidP="002155C0">
      <w:pPr>
        <w:pStyle w:val="ListParagraph"/>
        <w:numPr>
          <w:ilvl w:val="0"/>
          <w:numId w:val="40"/>
        </w:numPr>
      </w:pPr>
      <w:r>
        <w:rPr>
          <w:rFonts w:ascii="Times New Roman" w:hAnsi="Times New Roman" w:cs="Times New Roman"/>
          <w:sz w:val="24"/>
          <w:szCs w:val="24"/>
        </w:rPr>
        <w:t>Number of compliance reviews completed during the month;</w:t>
      </w:r>
    </w:p>
    <w:p w:rsidR="002155C0" w:rsidRPr="002155C0" w:rsidRDefault="00BE151D" w:rsidP="002155C0">
      <w:pPr>
        <w:pStyle w:val="ListParagraph"/>
        <w:numPr>
          <w:ilvl w:val="0"/>
          <w:numId w:val="40"/>
        </w:numPr>
      </w:pPr>
      <w:r>
        <w:rPr>
          <w:rFonts w:ascii="Times New Roman" w:hAnsi="Times New Roman" w:cs="Times New Roman"/>
          <w:sz w:val="24"/>
          <w:szCs w:val="24"/>
        </w:rPr>
        <w:t>Number of c</w:t>
      </w:r>
      <w:r w:rsidR="002155C0">
        <w:rPr>
          <w:rFonts w:ascii="Times New Roman" w:hAnsi="Times New Roman" w:cs="Times New Roman"/>
          <w:sz w:val="24"/>
          <w:szCs w:val="24"/>
        </w:rPr>
        <w:t>ompliance reviews on hand at the end of the month;</w:t>
      </w:r>
    </w:p>
    <w:p w:rsidR="002155C0" w:rsidRPr="00770FFC" w:rsidRDefault="002155C0" w:rsidP="002155C0">
      <w:pPr>
        <w:pStyle w:val="ListParagraph"/>
        <w:numPr>
          <w:ilvl w:val="0"/>
          <w:numId w:val="40"/>
        </w:numPr>
      </w:pPr>
      <w:r>
        <w:rPr>
          <w:rFonts w:ascii="Times New Roman" w:hAnsi="Times New Roman" w:cs="Times New Roman"/>
          <w:sz w:val="24"/>
          <w:szCs w:val="24"/>
        </w:rPr>
        <w:t>Applications for internal review in relation to compliance notices issued;</w:t>
      </w:r>
    </w:p>
    <w:p w:rsidR="00770FFC" w:rsidRPr="00770FFC" w:rsidRDefault="00770FFC" w:rsidP="002155C0">
      <w:pPr>
        <w:pStyle w:val="ListParagraph"/>
        <w:numPr>
          <w:ilvl w:val="0"/>
          <w:numId w:val="40"/>
        </w:numPr>
      </w:pPr>
      <w:r>
        <w:rPr>
          <w:rFonts w:ascii="Times New Roman" w:hAnsi="Times New Roman" w:cs="Times New Roman"/>
          <w:sz w:val="24"/>
          <w:szCs w:val="24"/>
        </w:rPr>
        <w:t>Breakdown of the types of organisations on which compliance reviews have been conducted (e.g., unions, corporations, other);</w:t>
      </w:r>
    </w:p>
    <w:p w:rsidR="00770FFC" w:rsidRPr="00770FFC" w:rsidRDefault="00770FFC" w:rsidP="002155C0">
      <w:pPr>
        <w:pStyle w:val="ListParagraph"/>
        <w:numPr>
          <w:ilvl w:val="0"/>
          <w:numId w:val="40"/>
        </w:numPr>
      </w:pPr>
      <w:r>
        <w:rPr>
          <w:rFonts w:ascii="Times New Roman" w:hAnsi="Times New Roman" w:cs="Times New Roman"/>
          <w:sz w:val="24"/>
          <w:szCs w:val="24"/>
        </w:rPr>
        <w:t>Number of investigations underway.</w:t>
      </w:r>
    </w:p>
    <w:p w:rsidR="00770FFC" w:rsidRDefault="00770FFC" w:rsidP="00770FFC">
      <w:pPr>
        <w:ind w:left="567"/>
        <w:rPr>
          <w:rFonts w:ascii="Times New Roman" w:hAnsi="Times New Roman" w:cs="Times New Roman"/>
          <w:sz w:val="24"/>
          <w:szCs w:val="24"/>
        </w:rPr>
      </w:pPr>
      <w:r>
        <w:rPr>
          <w:rFonts w:ascii="Times New Roman" w:hAnsi="Times New Roman" w:cs="Times New Roman"/>
          <w:sz w:val="24"/>
          <w:szCs w:val="24"/>
        </w:rPr>
        <w:t xml:space="preserve">It is recognised that some of these would only be relevant at certain points of the disclosure cycle.  </w:t>
      </w:r>
    </w:p>
    <w:p w:rsidR="00A80C71" w:rsidRPr="00A80C71" w:rsidRDefault="00A80C71" w:rsidP="00A80C71">
      <w:pPr>
        <w:pStyle w:val="Heading2"/>
        <w:rPr>
          <w:rFonts w:ascii="Times New Roman" w:hAnsi="Times New Roman" w:cs="Times New Roman"/>
          <w:color w:val="auto"/>
        </w:rPr>
      </w:pPr>
      <w:r w:rsidRPr="00F66850">
        <w:rPr>
          <w:rFonts w:ascii="Times New Roman" w:hAnsi="Times New Roman" w:cs="Times New Roman"/>
          <w:color w:val="auto"/>
        </w:rPr>
        <w:t>Improved information management system</w:t>
      </w:r>
    </w:p>
    <w:p w:rsidR="0096777D" w:rsidRPr="00B94F23" w:rsidRDefault="00895236" w:rsidP="0096777D">
      <w:pPr>
        <w:pStyle w:val="Heading2"/>
        <w:numPr>
          <w:ilvl w:val="1"/>
          <w:numId w:val="21"/>
        </w:numPr>
        <w:ind w:left="567" w:hanging="567"/>
        <w:rPr>
          <w:rFonts w:ascii="Times New Roman" w:hAnsi="Times New Roman" w:cs="Times New Roman"/>
          <w:b w:val="0"/>
          <w:color w:val="000000" w:themeColor="text1"/>
          <w:sz w:val="24"/>
          <w:szCs w:val="24"/>
        </w:rPr>
      </w:pPr>
      <w:bookmarkStart w:id="95" w:name="_Toc339540927"/>
      <w:r w:rsidRPr="00775444">
        <w:rPr>
          <w:rFonts w:ascii="Times New Roman" w:hAnsi="Times New Roman" w:cs="Times New Roman"/>
          <w:b w:val="0"/>
          <w:color w:val="000000" w:themeColor="text1"/>
          <w:sz w:val="24"/>
          <w:szCs w:val="24"/>
        </w:rPr>
        <w:t>The compliance program would be enhanced if the team had access to a comprehensive information management system which allows a history of each client to be accessed from a single source.  Currently some information about clients is stored in the Returns Management System (SuperFAD) but this system has been developed to manage the disclosure functions and is of limited benefit for the compliance function.  If the system was progressively expanded to include all records and knowledge about clients, it would provide a valuable tool to assist in identi</w:t>
      </w:r>
      <w:r w:rsidR="00A80C71">
        <w:rPr>
          <w:rFonts w:ascii="Times New Roman" w:hAnsi="Times New Roman" w:cs="Times New Roman"/>
          <w:b w:val="0"/>
          <w:color w:val="000000" w:themeColor="text1"/>
          <w:sz w:val="24"/>
          <w:szCs w:val="24"/>
        </w:rPr>
        <w:t>fying those to be selected for ‘random’</w:t>
      </w:r>
      <w:r w:rsidRPr="00775444">
        <w:rPr>
          <w:rFonts w:ascii="Times New Roman" w:hAnsi="Times New Roman" w:cs="Times New Roman"/>
          <w:b w:val="0"/>
          <w:color w:val="000000" w:themeColor="text1"/>
          <w:sz w:val="24"/>
          <w:szCs w:val="24"/>
        </w:rPr>
        <w:t xml:space="preserve"> compliance reviews based on a risk assessment and management framework.</w:t>
      </w:r>
      <w:bookmarkEnd w:id="95"/>
    </w:p>
    <w:p w:rsidR="00B94F23" w:rsidRPr="00721B7E" w:rsidRDefault="00895236" w:rsidP="00B94F23">
      <w:pPr>
        <w:pStyle w:val="Heading2"/>
        <w:numPr>
          <w:ilvl w:val="1"/>
          <w:numId w:val="21"/>
        </w:numPr>
        <w:ind w:left="567" w:hanging="567"/>
        <w:rPr>
          <w:rFonts w:ascii="Times New Roman" w:hAnsi="Times New Roman" w:cs="Times New Roman"/>
          <w:b w:val="0"/>
          <w:color w:val="auto"/>
          <w:sz w:val="24"/>
          <w:szCs w:val="24"/>
        </w:rPr>
      </w:pPr>
      <w:bookmarkStart w:id="96" w:name="_Toc339540928"/>
      <w:r w:rsidRPr="00775444">
        <w:rPr>
          <w:rFonts w:ascii="Times New Roman" w:hAnsi="Times New Roman" w:cs="Times New Roman"/>
          <w:b w:val="0"/>
          <w:color w:val="000000" w:themeColor="text1"/>
          <w:sz w:val="24"/>
          <w:szCs w:val="24"/>
        </w:rPr>
        <w:t>Further development of the SuperFAD system to meet the intelligence and other needs of the compliance group would be necessary for this purpose as well as to create a common information technology capability for the whole branch.</w:t>
      </w:r>
      <w:r w:rsidR="00AF574D">
        <w:rPr>
          <w:rFonts w:ascii="Times New Roman" w:hAnsi="Times New Roman" w:cs="Times New Roman"/>
          <w:b w:val="0"/>
          <w:color w:val="000000" w:themeColor="text1"/>
          <w:sz w:val="24"/>
          <w:szCs w:val="24"/>
        </w:rPr>
        <w:t xml:space="preserve"> </w:t>
      </w:r>
      <w:r w:rsidR="00AF574D" w:rsidRPr="00AF574D">
        <w:rPr>
          <w:rFonts w:ascii="Times New Roman" w:hAnsi="Times New Roman" w:cs="Times New Roman"/>
          <w:b w:val="0"/>
          <w:color w:val="auto"/>
          <w:sz w:val="24"/>
          <w:szCs w:val="24"/>
        </w:rPr>
        <w:t xml:space="preserve"> </w:t>
      </w:r>
    </w:p>
    <w:p w:rsidR="00721B7E" w:rsidRDefault="00AF574D" w:rsidP="008637DD">
      <w:pPr>
        <w:pStyle w:val="Heading2"/>
        <w:numPr>
          <w:ilvl w:val="1"/>
          <w:numId w:val="21"/>
        </w:numPr>
        <w:ind w:left="567" w:hanging="567"/>
        <w:rPr>
          <w:rFonts w:ascii="Times New Roman" w:hAnsi="Times New Roman" w:cs="Times New Roman"/>
          <w:b w:val="0"/>
          <w:color w:val="auto"/>
          <w:sz w:val="24"/>
          <w:szCs w:val="24"/>
        </w:rPr>
      </w:pPr>
      <w:r w:rsidRPr="00AF574D">
        <w:rPr>
          <w:rFonts w:ascii="Times New Roman" w:hAnsi="Times New Roman" w:cs="Times New Roman"/>
          <w:b w:val="0"/>
          <w:color w:val="auto"/>
          <w:sz w:val="24"/>
          <w:szCs w:val="24"/>
        </w:rPr>
        <w:t xml:space="preserve">Part 3 of this report contains more detailed observations and suggestions relating to the FAD group of functions and how they might be better integrated under the revised arrangements recommended in this report.  </w:t>
      </w:r>
    </w:p>
    <w:p w:rsidR="00721B7E" w:rsidRPr="00721B7E" w:rsidRDefault="00721B7E" w:rsidP="00721B7E"/>
    <w:p w:rsidR="008637DD" w:rsidRPr="008637DD" w:rsidRDefault="00AF574D" w:rsidP="008637DD">
      <w:pPr>
        <w:pStyle w:val="Heading2"/>
        <w:numPr>
          <w:ilvl w:val="1"/>
          <w:numId w:val="21"/>
        </w:numPr>
        <w:ind w:left="567" w:hanging="567"/>
        <w:rPr>
          <w:rFonts w:ascii="Times New Roman" w:hAnsi="Times New Roman" w:cs="Times New Roman"/>
          <w:b w:val="0"/>
          <w:color w:val="auto"/>
          <w:sz w:val="24"/>
          <w:szCs w:val="24"/>
        </w:rPr>
      </w:pPr>
      <w:r w:rsidRPr="00AF574D">
        <w:rPr>
          <w:rFonts w:ascii="Times New Roman" w:hAnsi="Times New Roman" w:cs="Times New Roman"/>
          <w:b w:val="0"/>
          <w:color w:val="auto"/>
          <w:sz w:val="24"/>
          <w:szCs w:val="24"/>
        </w:rPr>
        <w:lastRenderedPageBreak/>
        <w:t>These comments are provided particularly for the assistance and guidance of the person who becomes responsible for future arrangements in this area.</w:t>
      </w:r>
      <w:bookmarkEnd w:id="96"/>
    </w:p>
    <w:p w:rsidR="001E3E7B" w:rsidRPr="00FF61A6" w:rsidRDefault="00FF61A6" w:rsidP="00FF61A6">
      <w:pPr>
        <w:pStyle w:val="Heading3"/>
        <w:rPr>
          <w:rFonts w:ascii="Times New Roman" w:hAnsi="Times New Roman" w:cs="Times New Roman"/>
          <w:color w:val="auto"/>
        </w:rPr>
      </w:pPr>
      <w:bookmarkStart w:id="97" w:name="_Toc339540929"/>
      <w:r w:rsidRPr="00FF61A6">
        <w:rPr>
          <w:rFonts w:ascii="Times New Roman" w:hAnsi="Times New Roman" w:cs="Times New Roman"/>
          <w:color w:val="auto"/>
        </w:rPr>
        <w:t>Recommendation</w:t>
      </w:r>
      <w:r w:rsidR="001E3E7B" w:rsidRPr="00FF61A6">
        <w:rPr>
          <w:rFonts w:ascii="Times New Roman" w:hAnsi="Times New Roman" w:cs="Times New Roman"/>
          <w:color w:val="auto"/>
        </w:rPr>
        <w:t xml:space="preserve"> 4</w:t>
      </w:r>
      <w:r w:rsidRPr="00FF61A6">
        <w:rPr>
          <w:rFonts w:ascii="Times New Roman" w:hAnsi="Times New Roman" w:cs="Times New Roman"/>
          <w:color w:val="auto"/>
        </w:rPr>
        <w:t>:</w:t>
      </w:r>
      <w:bookmarkEnd w:id="97"/>
    </w:p>
    <w:p w:rsidR="001E3E7B" w:rsidRDefault="001E3E7B" w:rsidP="001E3E7B">
      <w:pPr>
        <w:rPr>
          <w:rFonts w:ascii="Times New Roman" w:hAnsi="Times New Roman" w:cs="Times New Roman"/>
          <w:b/>
          <w:sz w:val="24"/>
          <w:szCs w:val="24"/>
        </w:rPr>
      </w:pPr>
      <w:r>
        <w:rPr>
          <w:rFonts w:ascii="Times New Roman" w:hAnsi="Times New Roman" w:cs="Times New Roman"/>
          <w:b/>
          <w:sz w:val="24"/>
          <w:szCs w:val="24"/>
        </w:rPr>
        <w:t xml:space="preserve">The SuperFAD system should be developed further as an integrated information management system serving the needs of all of the elements of the FAD group. </w:t>
      </w:r>
    </w:p>
    <w:p w:rsidR="0096777D" w:rsidRPr="00E44CDE" w:rsidRDefault="0096777D" w:rsidP="001E3E7B">
      <w:pPr>
        <w:rPr>
          <w:rFonts w:ascii="Times New Roman" w:hAnsi="Times New Roman" w:cs="Times New Roman"/>
          <w:b/>
          <w:sz w:val="24"/>
          <w:szCs w:val="24"/>
        </w:rPr>
      </w:pPr>
    </w:p>
    <w:p w:rsidR="00880A51" w:rsidRPr="00343EE0" w:rsidRDefault="00E75515" w:rsidP="00343EE0">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Cs/>
          <w:color w:val="000000" w:themeColor="text1"/>
          <w:sz w:val="24"/>
          <w:szCs w:val="24"/>
        </w:rPr>
        <w:br w:type="page"/>
      </w:r>
      <w:bookmarkStart w:id="98" w:name="_Toc337060901"/>
      <w:r w:rsidR="00880A51" w:rsidRPr="00343EE0">
        <w:rPr>
          <w:rFonts w:ascii="Times New Roman" w:hAnsi="Times New Roman" w:cs="Times New Roman"/>
          <w:b/>
          <w:sz w:val="24"/>
        </w:rPr>
        <w:lastRenderedPageBreak/>
        <w:t>Summary of conclusions arising out of the PwC performance audit</w:t>
      </w:r>
    </w:p>
    <w:p w:rsidR="00307729" w:rsidRPr="00343EE0" w:rsidRDefault="00307729" w:rsidP="00343EE0">
      <w:pPr>
        <w:pStyle w:val="Heading2"/>
        <w:numPr>
          <w:ilvl w:val="1"/>
          <w:numId w:val="21"/>
        </w:numPr>
        <w:ind w:left="567" w:hanging="567"/>
        <w:rPr>
          <w:rFonts w:ascii="Times New Roman" w:hAnsi="Times New Roman" w:cs="Times New Roman"/>
          <w:b w:val="0"/>
          <w:color w:val="auto"/>
          <w:sz w:val="24"/>
          <w:szCs w:val="24"/>
        </w:rPr>
      </w:pPr>
      <w:r w:rsidRPr="00880A51">
        <w:rPr>
          <w:rFonts w:ascii="Times New Roman" w:hAnsi="Times New Roman" w:cs="Times New Roman"/>
          <w:b w:val="0"/>
          <w:color w:val="auto"/>
          <w:sz w:val="24"/>
          <w:szCs w:val="24"/>
        </w:rPr>
        <w:t>The performance audit conducted by PwC identified issues and recommendations in relation to the Commission’s compliance review function.  Four major areas were examined and the key themes reflected in the recommendations in relation to each are summarised below.  The full report on the performance audit conducted by PwC, which contains a number of detailed recommendations aimed at improving the future performance of the compliance function</w:t>
      </w:r>
      <w:r w:rsidR="00760BE3" w:rsidRPr="00880A51">
        <w:rPr>
          <w:rFonts w:ascii="Times New Roman" w:hAnsi="Times New Roman" w:cs="Times New Roman"/>
          <w:b w:val="0"/>
          <w:color w:val="auto"/>
          <w:sz w:val="24"/>
          <w:szCs w:val="24"/>
        </w:rPr>
        <w:t>,</w:t>
      </w:r>
      <w:r w:rsidRPr="00880A51">
        <w:rPr>
          <w:rFonts w:ascii="Times New Roman" w:hAnsi="Times New Roman" w:cs="Times New Roman"/>
          <w:b w:val="0"/>
          <w:color w:val="auto"/>
          <w:sz w:val="24"/>
          <w:szCs w:val="24"/>
        </w:rPr>
        <w:t xml:space="preserve"> is included at Part 4.</w:t>
      </w:r>
    </w:p>
    <w:p w:rsidR="00880A51" w:rsidRPr="00880A51" w:rsidRDefault="00880A51" w:rsidP="00880A51">
      <w:pPr>
        <w:pStyle w:val="Heading3"/>
        <w:rPr>
          <w:rFonts w:ascii="Times New Roman" w:hAnsi="Times New Roman" w:cs="Times New Roman"/>
          <w:color w:val="auto"/>
        </w:rPr>
      </w:pPr>
      <w:r w:rsidRPr="00880A51">
        <w:rPr>
          <w:rFonts w:ascii="Times New Roman" w:hAnsi="Times New Roman" w:cs="Times New Roman"/>
          <w:color w:val="auto"/>
        </w:rPr>
        <w:t>Governance</w:t>
      </w:r>
    </w:p>
    <w:p w:rsidR="00307729" w:rsidRPr="00343EE0" w:rsidRDefault="00307729" w:rsidP="00343EE0">
      <w:pPr>
        <w:pStyle w:val="Heading2"/>
        <w:numPr>
          <w:ilvl w:val="1"/>
          <w:numId w:val="21"/>
        </w:numPr>
        <w:ind w:left="567" w:hanging="567"/>
        <w:rPr>
          <w:rFonts w:ascii="Times New Roman" w:hAnsi="Times New Roman" w:cs="Times New Roman"/>
          <w:b w:val="0"/>
          <w:color w:val="auto"/>
          <w:sz w:val="24"/>
          <w:szCs w:val="24"/>
        </w:rPr>
      </w:pPr>
      <w:r w:rsidRPr="00880A51">
        <w:rPr>
          <w:rFonts w:ascii="Times New Roman" w:hAnsi="Times New Roman" w:cs="Times New Roman"/>
          <w:b w:val="0"/>
          <w:color w:val="auto"/>
          <w:sz w:val="24"/>
          <w:szCs w:val="24"/>
        </w:rPr>
        <w:t xml:space="preserve">The PwC performance audit determined that there needs to be a clearer definition of strategic direction and enhanced Executive support for the Commission’s disclosure and compliance function than has previously been the case, as the section currently operates, at least to a degree, in isolation from the rest of the Commission.  This situation may have developed, at least in part, because the function is seen as ancillary to core responsibilities of the Commission such as conducting federal elections and referendums, and maintaining the Commonwealth electoral roll.  </w:t>
      </w:r>
    </w:p>
    <w:p w:rsidR="00307729" w:rsidRPr="001A31E9" w:rsidRDefault="00307729" w:rsidP="00343EE0">
      <w:pPr>
        <w:pStyle w:val="Heading2"/>
        <w:numPr>
          <w:ilvl w:val="1"/>
          <w:numId w:val="21"/>
        </w:numPr>
        <w:ind w:left="709" w:hanging="709"/>
        <w:rPr>
          <w:rFonts w:ascii="Times New Roman" w:hAnsi="Times New Roman" w:cs="Times New Roman"/>
          <w:b w:val="0"/>
          <w:color w:val="000000" w:themeColor="text1"/>
          <w:sz w:val="24"/>
          <w:szCs w:val="24"/>
        </w:rPr>
      </w:pPr>
      <w:bookmarkStart w:id="99" w:name="_Toc339540932"/>
      <w:r w:rsidRPr="008E1356">
        <w:rPr>
          <w:rFonts w:ascii="Times New Roman" w:hAnsi="Times New Roman" w:cs="Times New Roman"/>
          <w:b w:val="0"/>
          <w:color w:val="000000" w:themeColor="text1"/>
          <w:sz w:val="24"/>
          <w:szCs w:val="24"/>
        </w:rPr>
        <w:t>In addition, the establishment of an effective governance framework to ensure objectives are communicated and being achieved, the oversight of outcomes, resource allocation and monitoring of performance are necessary for the Commission to improve outcomes in carrying out the disclosure compliance function.  The governance issues are partly evidenced by the number of previous audit recommendations relating to the function that have been partially implemented and not subject to an effective follow-up process to ensure the effectiveness of actions and confirm the progress achieved.</w:t>
      </w:r>
      <w:bookmarkEnd w:id="99"/>
      <w:r w:rsidRPr="008E1356">
        <w:rPr>
          <w:rFonts w:ascii="Times New Roman" w:hAnsi="Times New Roman" w:cs="Times New Roman"/>
          <w:b w:val="0"/>
          <w:color w:val="000000" w:themeColor="text1"/>
          <w:sz w:val="24"/>
          <w:szCs w:val="24"/>
        </w:rPr>
        <w:t xml:space="preserve">  </w:t>
      </w:r>
    </w:p>
    <w:p w:rsidR="00343EE0" w:rsidRPr="00343EE0" w:rsidRDefault="00307729" w:rsidP="00880A51">
      <w:pPr>
        <w:pStyle w:val="Heading2"/>
        <w:numPr>
          <w:ilvl w:val="1"/>
          <w:numId w:val="21"/>
        </w:numPr>
        <w:ind w:left="709" w:hanging="709"/>
        <w:rPr>
          <w:rFonts w:ascii="Times New Roman" w:hAnsi="Times New Roman" w:cs="Times New Roman"/>
          <w:b w:val="0"/>
          <w:color w:val="000000" w:themeColor="text1"/>
          <w:sz w:val="24"/>
          <w:szCs w:val="24"/>
        </w:rPr>
      </w:pPr>
      <w:bookmarkStart w:id="100" w:name="_Toc339540933"/>
      <w:r w:rsidRPr="008E1356">
        <w:rPr>
          <w:rFonts w:ascii="Times New Roman" w:hAnsi="Times New Roman" w:cs="Times New Roman"/>
          <w:b w:val="0"/>
          <w:color w:val="000000" w:themeColor="text1"/>
          <w:sz w:val="24"/>
          <w:szCs w:val="24"/>
        </w:rPr>
        <w:t>There exists a need for engagement and representation at the Executive level which will involve dedicated senior leadership for the function, strategic alignment with the AEC, oversight of objectives, and increased accountability.</w:t>
      </w:r>
      <w:bookmarkEnd w:id="100"/>
      <w:r w:rsidRPr="008E1356">
        <w:rPr>
          <w:rFonts w:ascii="Times New Roman" w:hAnsi="Times New Roman" w:cs="Times New Roman"/>
          <w:b w:val="0"/>
          <w:color w:val="000000" w:themeColor="text1"/>
          <w:sz w:val="24"/>
          <w:szCs w:val="24"/>
        </w:rPr>
        <w:t xml:space="preserve"> </w:t>
      </w:r>
    </w:p>
    <w:p w:rsidR="00880A51" w:rsidRPr="00880A51" w:rsidRDefault="00880A51" w:rsidP="00880A51">
      <w:pPr>
        <w:pStyle w:val="Heading3"/>
        <w:rPr>
          <w:rFonts w:ascii="Times New Roman" w:hAnsi="Times New Roman" w:cs="Times New Roman"/>
          <w:color w:val="auto"/>
        </w:rPr>
      </w:pPr>
      <w:r w:rsidRPr="00880A51">
        <w:rPr>
          <w:rFonts w:ascii="Times New Roman" w:hAnsi="Times New Roman" w:cs="Times New Roman"/>
          <w:color w:val="auto"/>
        </w:rPr>
        <w:t>Risk management framework</w:t>
      </w:r>
    </w:p>
    <w:p w:rsidR="00307729" w:rsidRPr="00DC3B9D" w:rsidRDefault="00307729" w:rsidP="00343EE0">
      <w:pPr>
        <w:pStyle w:val="Heading2"/>
        <w:numPr>
          <w:ilvl w:val="1"/>
          <w:numId w:val="21"/>
        </w:numPr>
        <w:ind w:left="709" w:hanging="709"/>
        <w:rPr>
          <w:rFonts w:ascii="Times New Roman" w:hAnsi="Times New Roman" w:cs="Times New Roman"/>
          <w:b w:val="0"/>
          <w:color w:val="auto"/>
          <w:sz w:val="24"/>
          <w:szCs w:val="24"/>
        </w:rPr>
      </w:pPr>
      <w:r w:rsidRPr="00880A51">
        <w:rPr>
          <w:rFonts w:ascii="Times New Roman" w:hAnsi="Times New Roman" w:cs="Times New Roman"/>
          <w:b w:val="0"/>
          <w:color w:val="auto"/>
          <w:sz w:val="24"/>
          <w:szCs w:val="24"/>
        </w:rPr>
        <w:t xml:space="preserve">There is currently no risk management framework encapsulating both the overall compliance review function and a risk-based sampling methodology to ensure efficient and effective coverage of political parties and associated entities.  The absence of a risk management framework has resulted in the compliance function being reactive and reliant on the existing corporate knowledge of its management team with risks being identified and managed in a haphazard manner.  </w:t>
      </w:r>
    </w:p>
    <w:p w:rsidR="00B94F23" w:rsidRDefault="00307729" w:rsidP="001A31E9">
      <w:pPr>
        <w:pStyle w:val="Heading2"/>
        <w:numPr>
          <w:ilvl w:val="1"/>
          <w:numId w:val="21"/>
        </w:numPr>
        <w:ind w:left="709" w:hanging="709"/>
        <w:rPr>
          <w:rFonts w:ascii="Times New Roman" w:hAnsi="Times New Roman" w:cs="Times New Roman"/>
          <w:b w:val="0"/>
          <w:color w:val="000000" w:themeColor="text1"/>
          <w:sz w:val="24"/>
          <w:szCs w:val="24"/>
        </w:rPr>
      </w:pPr>
      <w:bookmarkStart w:id="101" w:name="_Toc339540935"/>
      <w:r w:rsidRPr="008E1356">
        <w:rPr>
          <w:rFonts w:ascii="Times New Roman" w:hAnsi="Times New Roman" w:cs="Times New Roman"/>
          <w:b w:val="0"/>
          <w:color w:val="000000" w:themeColor="text1"/>
          <w:sz w:val="24"/>
          <w:szCs w:val="24"/>
        </w:rPr>
        <w:t xml:space="preserve">Political parties and associated entities are subject to coverage on a cyclical basis through a routine schedule which results in the selection process not being risk-based.  </w:t>
      </w:r>
    </w:p>
    <w:p w:rsidR="00B94F23" w:rsidRPr="00B94F23" w:rsidRDefault="00B94F23" w:rsidP="00B94F23"/>
    <w:p w:rsidR="00935D9E" w:rsidRPr="001A31E9" w:rsidRDefault="00307729" w:rsidP="001A31E9">
      <w:pPr>
        <w:pStyle w:val="Heading2"/>
        <w:numPr>
          <w:ilvl w:val="1"/>
          <w:numId w:val="21"/>
        </w:numPr>
        <w:ind w:left="709" w:hanging="709"/>
        <w:rPr>
          <w:rFonts w:ascii="Times New Roman" w:hAnsi="Times New Roman" w:cs="Times New Roman"/>
          <w:b w:val="0"/>
          <w:color w:val="000000" w:themeColor="text1"/>
          <w:sz w:val="24"/>
          <w:szCs w:val="24"/>
        </w:rPr>
      </w:pPr>
      <w:r w:rsidRPr="008E1356">
        <w:rPr>
          <w:rFonts w:ascii="Times New Roman" w:hAnsi="Times New Roman" w:cs="Times New Roman"/>
          <w:b w:val="0"/>
          <w:color w:val="000000" w:themeColor="text1"/>
          <w:sz w:val="24"/>
          <w:szCs w:val="24"/>
        </w:rPr>
        <w:lastRenderedPageBreak/>
        <w:t>This approach to compliance review coverage reduces the need to apply professional judgement and can result in staff time being unnecessarily allocated to compliance review activities that are less risky whilst providing insufficient attention to higher risk organisations and situations.</w:t>
      </w:r>
      <w:bookmarkEnd w:id="101"/>
      <w:r w:rsidRPr="008E1356">
        <w:rPr>
          <w:rFonts w:ascii="Times New Roman" w:hAnsi="Times New Roman" w:cs="Times New Roman"/>
          <w:b w:val="0"/>
          <w:color w:val="000000" w:themeColor="text1"/>
          <w:sz w:val="24"/>
          <w:szCs w:val="24"/>
        </w:rPr>
        <w:t xml:space="preserve"> </w:t>
      </w:r>
    </w:p>
    <w:p w:rsidR="00307729" w:rsidRPr="008E1356" w:rsidRDefault="00307729" w:rsidP="003B322B">
      <w:pPr>
        <w:pStyle w:val="Heading2"/>
        <w:numPr>
          <w:ilvl w:val="1"/>
          <w:numId w:val="21"/>
        </w:numPr>
        <w:ind w:left="709" w:hanging="709"/>
        <w:rPr>
          <w:rFonts w:ascii="Times New Roman" w:hAnsi="Times New Roman" w:cs="Times New Roman"/>
          <w:b w:val="0"/>
          <w:color w:val="000000" w:themeColor="text1"/>
          <w:sz w:val="24"/>
          <w:szCs w:val="24"/>
        </w:rPr>
      </w:pPr>
      <w:bookmarkStart w:id="102" w:name="_Toc339540936"/>
      <w:r w:rsidRPr="008E1356">
        <w:rPr>
          <w:rFonts w:ascii="Times New Roman" w:hAnsi="Times New Roman" w:cs="Times New Roman"/>
          <w:b w:val="0"/>
          <w:color w:val="000000" w:themeColor="text1"/>
          <w:sz w:val="24"/>
          <w:szCs w:val="24"/>
        </w:rPr>
        <w:t>The risk management framework needs to be integral to the Commission’s approach to conducting compliance reviews as a key input for decision-making, and determining the appropriate allocation of resources and methodology.  An effective risk management framework will assist with identifying and establishing a range of compliance review approaches to present an element of unpredictability to the process.  In summary terms, potential approaches should involve:</w:t>
      </w:r>
      <w:bookmarkEnd w:id="102"/>
    </w:p>
    <w:p w:rsidR="00307729" w:rsidRPr="00B425F5" w:rsidRDefault="00307729" w:rsidP="00420F49">
      <w:pPr>
        <w:pStyle w:val="PwCNormal"/>
        <w:numPr>
          <w:ilvl w:val="0"/>
          <w:numId w:val="19"/>
        </w:numPr>
        <w:spacing w:before="120" w:after="120"/>
        <w:ind w:left="1276" w:hanging="425"/>
        <w:rPr>
          <w:rFonts w:ascii="Times New Roman" w:hAnsi="Times New Roman" w:cs="Times New Roman"/>
          <w:sz w:val="24"/>
          <w:szCs w:val="24"/>
        </w:rPr>
      </w:pPr>
      <w:r w:rsidRPr="00B425F5">
        <w:rPr>
          <w:rFonts w:ascii="Times New Roman" w:hAnsi="Times New Roman" w:cs="Times New Roman"/>
          <w:sz w:val="24"/>
          <w:szCs w:val="24"/>
        </w:rPr>
        <w:t xml:space="preserve">Test checking the accuracy of a sample of annual disclosure returns following improvements to the existing compliance methodology; </w:t>
      </w:r>
    </w:p>
    <w:p w:rsidR="00307729" w:rsidRPr="00B425F5" w:rsidRDefault="00307729" w:rsidP="00420F49">
      <w:pPr>
        <w:pStyle w:val="PwCNormal"/>
        <w:numPr>
          <w:ilvl w:val="0"/>
          <w:numId w:val="19"/>
        </w:numPr>
        <w:spacing w:before="120" w:after="120"/>
        <w:ind w:left="1276" w:hanging="425"/>
        <w:rPr>
          <w:rFonts w:ascii="Times New Roman" w:hAnsi="Times New Roman" w:cs="Times New Roman"/>
          <w:sz w:val="24"/>
          <w:szCs w:val="24"/>
        </w:rPr>
      </w:pPr>
      <w:r w:rsidRPr="00B425F5">
        <w:rPr>
          <w:rFonts w:ascii="Times New Roman" w:hAnsi="Times New Roman" w:cs="Times New Roman"/>
          <w:sz w:val="24"/>
          <w:szCs w:val="24"/>
        </w:rPr>
        <w:t>Use of specialists and appropriate expertise to more forensically research books, records and other available material to get “behind the scenes” and identify potential misstatements by applying sensibility tests in a more structured manner</w:t>
      </w:r>
      <w:r w:rsidR="00262920">
        <w:rPr>
          <w:rFonts w:ascii="Times New Roman" w:hAnsi="Times New Roman" w:cs="Times New Roman"/>
          <w:sz w:val="24"/>
          <w:szCs w:val="24"/>
        </w:rPr>
        <w:t>;</w:t>
      </w:r>
      <w:r w:rsidRPr="00B425F5">
        <w:rPr>
          <w:rFonts w:ascii="Times New Roman" w:hAnsi="Times New Roman" w:cs="Times New Roman"/>
          <w:sz w:val="24"/>
          <w:szCs w:val="24"/>
        </w:rPr>
        <w:t xml:space="preserve"> </w:t>
      </w:r>
    </w:p>
    <w:p w:rsidR="00307729" w:rsidRPr="00B425F5" w:rsidRDefault="00307729" w:rsidP="00420F49">
      <w:pPr>
        <w:pStyle w:val="PwCNormal"/>
        <w:numPr>
          <w:ilvl w:val="0"/>
          <w:numId w:val="19"/>
        </w:numPr>
        <w:spacing w:before="120" w:after="120"/>
        <w:ind w:left="1276" w:hanging="425"/>
        <w:rPr>
          <w:rFonts w:ascii="Times New Roman" w:hAnsi="Times New Roman" w:cs="Times New Roman"/>
          <w:sz w:val="24"/>
          <w:szCs w:val="24"/>
        </w:rPr>
      </w:pPr>
      <w:r w:rsidRPr="00B425F5">
        <w:rPr>
          <w:rFonts w:ascii="Times New Roman" w:hAnsi="Times New Roman" w:cs="Times New Roman"/>
          <w:sz w:val="24"/>
          <w:szCs w:val="24"/>
        </w:rPr>
        <w:t xml:space="preserve">Random checking a sample of organisations selected on the basis of potential disclosure misstatements, instinct and other intelligence gathering techniques to maintain unpredictability; and </w:t>
      </w:r>
    </w:p>
    <w:p w:rsidR="00307729" w:rsidRDefault="00307729" w:rsidP="00420F49">
      <w:pPr>
        <w:pStyle w:val="PwCNormal"/>
        <w:numPr>
          <w:ilvl w:val="0"/>
          <w:numId w:val="19"/>
        </w:numPr>
        <w:spacing w:before="120" w:after="120"/>
        <w:ind w:left="1276" w:hanging="425"/>
        <w:rPr>
          <w:rFonts w:ascii="Times New Roman" w:hAnsi="Times New Roman" w:cs="Times New Roman"/>
          <w:sz w:val="24"/>
          <w:szCs w:val="24"/>
        </w:rPr>
      </w:pPr>
      <w:r w:rsidRPr="00B425F5">
        <w:rPr>
          <w:rFonts w:ascii="Times New Roman" w:hAnsi="Times New Roman" w:cs="Times New Roman"/>
          <w:sz w:val="24"/>
          <w:szCs w:val="24"/>
        </w:rPr>
        <w:t xml:space="preserve">Limited review of a sample of annual disclosure returns that are considered lower risk involving a reasonableness review of the information provided prior to publication on the AEC web site. </w:t>
      </w:r>
    </w:p>
    <w:p w:rsidR="00880A51" w:rsidRPr="00880A51" w:rsidRDefault="00880A51" w:rsidP="00880A51">
      <w:pPr>
        <w:pStyle w:val="Heading3"/>
        <w:rPr>
          <w:rFonts w:ascii="Times New Roman" w:hAnsi="Times New Roman" w:cs="Times New Roman"/>
          <w:color w:val="auto"/>
        </w:rPr>
      </w:pPr>
      <w:r w:rsidRPr="00880A51">
        <w:rPr>
          <w:rFonts w:ascii="Times New Roman" w:hAnsi="Times New Roman" w:cs="Times New Roman"/>
          <w:color w:val="auto"/>
        </w:rPr>
        <w:t>Audit methodology</w:t>
      </w:r>
    </w:p>
    <w:p w:rsidR="00307729" w:rsidRPr="00343EE0" w:rsidRDefault="00307729" w:rsidP="00343EE0">
      <w:pPr>
        <w:pStyle w:val="Heading2"/>
        <w:numPr>
          <w:ilvl w:val="1"/>
          <w:numId w:val="21"/>
        </w:numPr>
        <w:ind w:left="709" w:hanging="709"/>
        <w:rPr>
          <w:rFonts w:ascii="Times New Roman" w:hAnsi="Times New Roman" w:cs="Times New Roman"/>
          <w:b w:val="0"/>
          <w:color w:val="auto"/>
          <w:sz w:val="24"/>
          <w:szCs w:val="24"/>
        </w:rPr>
      </w:pPr>
      <w:r w:rsidRPr="00880A51">
        <w:rPr>
          <w:rFonts w:ascii="Times New Roman" w:hAnsi="Times New Roman" w:cs="Times New Roman"/>
          <w:b w:val="0"/>
          <w:color w:val="auto"/>
          <w:sz w:val="24"/>
          <w:szCs w:val="24"/>
        </w:rPr>
        <w:t>The compliance review methodology requires improvement across key phases of the process including planning, fieldwork, reporting, quality assurance and documentation.  The function would also benefit from access to specialist investigative services to provide capacity and directly relevant expertise for the conduct of compliance investigations.</w:t>
      </w:r>
    </w:p>
    <w:p w:rsidR="000E54F9" w:rsidRPr="00DC36D9" w:rsidRDefault="00307729" w:rsidP="000E54F9">
      <w:pPr>
        <w:pStyle w:val="Heading2"/>
        <w:numPr>
          <w:ilvl w:val="1"/>
          <w:numId w:val="21"/>
        </w:numPr>
        <w:ind w:left="709" w:hanging="709"/>
        <w:rPr>
          <w:rFonts w:ascii="Times New Roman" w:hAnsi="Times New Roman" w:cs="Times New Roman"/>
          <w:b w:val="0"/>
          <w:color w:val="000000" w:themeColor="text1"/>
          <w:sz w:val="24"/>
          <w:szCs w:val="24"/>
        </w:rPr>
      </w:pPr>
      <w:bookmarkStart w:id="103" w:name="_Toc339540938"/>
      <w:r w:rsidRPr="008E1356">
        <w:rPr>
          <w:rFonts w:ascii="Times New Roman" w:hAnsi="Times New Roman" w:cs="Times New Roman"/>
          <w:b w:val="0"/>
          <w:color w:val="000000" w:themeColor="text1"/>
          <w:sz w:val="24"/>
          <w:szCs w:val="24"/>
        </w:rPr>
        <w:t>The existing methodology is focussed on detailed checking of the accuracy of all information already provided by the political parties and associated entities in their annual disclosure returns.  Efficiencies could be gained by testing a smaller sample of transactions in this manner, and directing the additional time available towards the risk of understatement to ensure that the information presented is not missing items that require disclosure in the annual return.</w:t>
      </w:r>
      <w:bookmarkEnd w:id="103"/>
      <w:r w:rsidRPr="008E1356">
        <w:rPr>
          <w:rFonts w:ascii="Times New Roman" w:hAnsi="Times New Roman" w:cs="Times New Roman"/>
          <w:b w:val="0"/>
          <w:color w:val="000000" w:themeColor="text1"/>
          <w:sz w:val="24"/>
          <w:szCs w:val="24"/>
        </w:rPr>
        <w:t xml:space="preserve">  </w:t>
      </w:r>
    </w:p>
    <w:p w:rsidR="00307729" w:rsidRDefault="00307729" w:rsidP="00F21D9A">
      <w:pPr>
        <w:pStyle w:val="Heading2"/>
        <w:numPr>
          <w:ilvl w:val="1"/>
          <w:numId w:val="21"/>
        </w:numPr>
        <w:ind w:left="709" w:hanging="709"/>
        <w:rPr>
          <w:rFonts w:ascii="Times New Roman" w:hAnsi="Times New Roman" w:cs="Times New Roman"/>
          <w:b w:val="0"/>
          <w:color w:val="000000" w:themeColor="text1"/>
          <w:sz w:val="24"/>
          <w:szCs w:val="24"/>
        </w:rPr>
      </w:pPr>
      <w:bookmarkStart w:id="104" w:name="_Toc339540939"/>
      <w:r w:rsidRPr="008E1356">
        <w:rPr>
          <w:rFonts w:ascii="Times New Roman" w:hAnsi="Times New Roman" w:cs="Times New Roman"/>
          <w:b w:val="0"/>
          <w:color w:val="000000" w:themeColor="text1"/>
          <w:sz w:val="24"/>
          <w:szCs w:val="24"/>
        </w:rPr>
        <w:t>Testing of completeness is being performed on a haphazard basis and there is inadequate evidence or appropriate documentation to support whet</w:t>
      </w:r>
      <w:r w:rsidR="003B322B">
        <w:rPr>
          <w:rFonts w:ascii="Times New Roman" w:hAnsi="Times New Roman" w:cs="Times New Roman"/>
          <w:b w:val="0"/>
          <w:color w:val="000000" w:themeColor="text1"/>
          <w:sz w:val="24"/>
          <w:szCs w:val="24"/>
        </w:rPr>
        <w:t>her these procedures are being satisfactorily</w:t>
      </w:r>
      <w:r w:rsidRPr="008E1356">
        <w:rPr>
          <w:rFonts w:ascii="Times New Roman" w:hAnsi="Times New Roman" w:cs="Times New Roman"/>
          <w:b w:val="0"/>
          <w:color w:val="000000" w:themeColor="text1"/>
          <w:sz w:val="24"/>
          <w:szCs w:val="24"/>
        </w:rPr>
        <w:t xml:space="preserve"> performed.</w:t>
      </w:r>
      <w:bookmarkEnd w:id="104"/>
      <w:r w:rsidRPr="008E1356">
        <w:rPr>
          <w:rFonts w:ascii="Times New Roman" w:hAnsi="Times New Roman" w:cs="Times New Roman"/>
          <w:b w:val="0"/>
          <w:color w:val="000000" w:themeColor="text1"/>
          <w:sz w:val="24"/>
          <w:szCs w:val="24"/>
        </w:rPr>
        <w:t xml:space="preserve"> </w:t>
      </w:r>
    </w:p>
    <w:p w:rsidR="00880A51" w:rsidRDefault="00880A51" w:rsidP="00880A51"/>
    <w:p w:rsidR="00880A51" w:rsidRPr="00880A51" w:rsidRDefault="00880A51" w:rsidP="00880A51">
      <w:pPr>
        <w:pStyle w:val="Heading3"/>
        <w:rPr>
          <w:rFonts w:ascii="Times New Roman" w:hAnsi="Times New Roman" w:cs="Times New Roman"/>
          <w:color w:val="auto"/>
        </w:rPr>
      </w:pPr>
      <w:r w:rsidRPr="00880A51">
        <w:rPr>
          <w:rFonts w:ascii="Times New Roman" w:hAnsi="Times New Roman" w:cs="Times New Roman"/>
          <w:color w:val="auto"/>
        </w:rPr>
        <w:lastRenderedPageBreak/>
        <w:t>Human resource management</w:t>
      </w:r>
    </w:p>
    <w:bookmarkEnd w:id="98"/>
    <w:p w:rsidR="00880A51" w:rsidRPr="00880A51" w:rsidRDefault="00307729" w:rsidP="00DC36D9">
      <w:pPr>
        <w:pStyle w:val="Heading2"/>
        <w:numPr>
          <w:ilvl w:val="1"/>
          <w:numId w:val="21"/>
        </w:numPr>
        <w:ind w:left="709" w:hanging="709"/>
        <w:rPr>
          <w:rFonts w:ascii="Times New Roman" w:hAnsi="Times New Roman" w:cs="Times New Roman"/>
          <w:b w:val="0"/>
          <w:color w:val="auto"/>
          <w:sz w:val="24"/>
          <w:szCs w:val="24"/>
        </w:rPr>
      </w:pPr>
      <w:r w:rsidRPr="00880A51">
        <w:rPr>
          <w:rFonts w:ascii="Times New Roman" w:hAnsi="Times New Roman" w:cs="Times New Roman"/>
          <w:b w:val="0"/>
          <w:color w:val="auto"/>
          <w:sz w:val="24"/>
          <w:szCs w:val="24"/>
        </w:rPr>
        <w:t xml:space="preserve">The compliance team has encountered challenges with attracting, training and retaining suitably experienced or qualified staff with the requisite skills required to perform roles during the key phases of the compliance review process.  The function would benefit from supplementation of more contemporary audit and financial accounting skills, experience and qualifications in conjunction with some ‘fresh thinking’ and investigation proficiencies.  </w:t>
      </w:r>
    </w:p>
    <w:p w:rsidR="00307729" w:rsidRPr="008E1356" w:rsidRDefault="00307729" w:rsidP="00F21D9A">
      <w:pPr>
        <w:pStyle w:val="Heading2"/>
        <w:numPr>
          <w:ilvl w:val="1"/>
          <w:numId w:val="21"/>
        </w:numPr>
        <w:ind w:left="709" w:hanging="709"/>
        <w:rPr>
          <w:rFonts w:ascii="Times New Roman" w:hAnsi="Times New Roman" w:cs="Times New Roman"/>
          <w:b w:val="0"/>
          <w:color w:val="000000" w:themeColor="text1"/>
          <w:sz w:val="24"/>
          <w:szCs w:val="24"/>
        </w:rPr>
      </w:pPr>
      <w:bookmarkStart w:id="105" w:name="_Toc339540941"/>
      <w:r w:rsidRPr="008E1356">
        <w:rPr>
          <w:rFonts w:ascii="Times New Roman" w:hAnsi="Times New Roman" w:cs="Times New Roman"/>
          <w:b w:val="0"/>
          <w:color w:val="000000" w:themeColor="text1"/>
          <w:sz w:val="24"/>
          <w:szCs w:val="24"/>
        </w:rPr>
        <w:t>Prior to approaching the market for these types of staff resources, a comprehensive workforce planning process of the compliance function needs should be conducted that will inform a strategy to attract, recruit, train and retain the optimal staffing mix with suitable qualifications, experience, skills.</w:t>
      </w:r>
      <w:bookmarkEnd w:id="105"/>
      <w:r w:rsidRPr="008E1356">
        <w:rPr>
          <w:rFonts w:ascii="Times New Roman" w:hAnsi="Times New Roman" w:cs="Times New Roman"/>
          <w:b w:val="0"/>
          <w:color w:val="000000" w:themeColor="text1"/>
          <w:sz w:val="24"/>
          <w:szCs w:val="24"/>
        </w:rPr>
        <w:t xml:space="preserve">  </w:t>
      </w:r>
    </w:p>
    <w:p w:rsidR="00262920" w:rsidRPr="008E1356" w:rsidRDefault="00307729" w:rsidP="00F21D9A">
      <w:pPr>
        <w:pStyle w:val="Heading2"/>
        <w:numPr>
          <w:ilvl w:val="1"/>
          <w:numId w:val="21"/>
        </w:numPr>
        <w:ind w:left="709" w:hanging="709"/>
        <w:rPr>
          <w:rFonts w:ascii="Times New Roman" w:hAnsi="Times New Roman" w:cs="Times New Roman"/>
          <w:b w:val="0"/>
          <w:color w:val="000000" w:themeColor="text1"/>
          <w:sz w:val="24"/>
          <w:szCs w:val="24"/>
        </w:rPr>
      </w:pPr>
      <w:bookmarkStart w:id="106" w:name="_Toc339540942"/>
      <w:r w:rsidRPr="008E1356">
        <w:rPr>
          <w:rFonts w:ascii="Times New Roman" w:hAnsi="Times New Roman" w:cs="Times New Roman"/>
          <w:b w:val="0"/>
          <w:color w:val="000000" w:themeColor="text1"/>
          <w:sz w:val="24"/>
          <w:szCs w:val="24"/>
        </w:rPr>
        <w:t>The function also requires access to appropriate subject matter specialists and technical expertise to provide assistance across certain aspects of the scheme including the provision of in-house training.  Assignments that utilise external specialists should involve working directly with a compliance team member(s) to facilitate knowledge transfer as an additional training opportunity to build on lessons learned and im</w:t>
      </w:r>
      <w:r w:rsidR="00262920" w:rsidRPr="008E1356">
        <w:rPr>
          <w:rFonts w:ascii="Times New Roman" w:hAnsi="Times New Roman" w:cs="Times New Roman"/>
          <w:b w:val="0"/>
          <w:color w:val="000000" w:themeColor="text1"/>
          <w:sz w:val="24"/>
          <w:szCs w:val="24"/>
        </w:rPr>
        <w:t>prove the existing methodology.</w:t>
      </w:r>
      <w:bookmarkEnd w:id="106"/>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880A51" w:rsidRDefault="00880A51" w:rsidP="00262920">
      <w:pPr>
        <w:rPr>
          <w:rFonts w:ascii="Times New Roman" w:hAnsi="Times New Roman" w:cs="Times New Roman"/>
        </w:rPr>
      </w:pPr>
    </w:p>
    <w:p w:rsidR="00262920" w:rsidRPr="00262920" w:rsidRDefault="00262920" w:rsidP="00262920">
      <w:pPr>
        <w:rPr>
          <w:rFonts w:ascii="Times New Roman" w:eastAsiaTheme="majorEastAsia" w:hAnsi="Times New Roman" w:cs="Times New Roman"/>
          <w:b/>
          <w:bCs/>
          <w:sz w:val="26"/>
          <w:szCs w:val="26"/>
        </w:rPr>
      </w:pPr>
    </w:p>
    <w:p w:rsidR="00880A51" w:rsidRPr="00880A51" w:rsidRDefault="00880A51" w:rsidP="00880A51">
      <w:pPr>
        <w:pStyle w:val="Heading2"/>
        <w:rPr>
          <w:rFonts w:ascii="Times New Roman" w:hAnsi="Times New Roman" w:cs="Times New Roman"/>
          <w:color w:val="auto"/>
        </w:rPr>
      </w:pPr>
      <w:r w:rsidRPr="00880A51">
        <w:rPr>
          <w:rFonts w:ascii="Times New Roman" w:hAnsi="Times New Roman" w:cs="Times New Roman"/>
          <w:color w:val="auto"/>
        </w:rPr>
        <w:lastRenderedPageBreak/>
        <w:t>Concluding remarks</w:t>
      </w:r>
    </w:p>
    <w:p w:rsidR="000E0682" w:rsidRPr="00AC1A4D" w:rsidRDefault="00BA65BF" w:rsidP="00AC1A4D">
      <w:pPr>
        <w:pStyle w:val="Heading2"/>
        <w:numPr>
          <w:ilvl w:val="1"/>
          <w:numId w:val="21"/>
        </w:numPr>
        <w:ind w:left="709" w:hanging="709"/>
        <w:rPr>
          <w:rFonts w:ascii="Times New Roman" w:hAnsi="Times New Roman" w:cs="Times New Roman"/>
          <w:b w:val="0"/>
          <w:color w:val="000000" w:themeColor="text1"/>
          <w:sz w:val="24"/>
          <w:szCs w:val="24"/>
        </w:rPr>
      </w:pPr>
      <w:bookmarkStart w:id="107" w:name="_Toc339540946"/>
      <w:r w:rsidRPr="008E1356">
        <w:rPr>
          <w:rFonts w:ascii="Times New Roman" w:hAnsi="Times New Roman" w:cs="Times New Roman"/>
          <w:b w:val="0"/>
          <w:color w:val="000000" w:themeColor="text1"/>
          <w:sz w:val="24"/>
          <w:szCs w:val="24"/>
        </w:rPr>
        <w:t xml:space="preserve">Organisations like the </w:t>
      </w:r>
      <w:r w:rsidR="00AC1A4D">
        <w:rPr>
          <w:rFonts w:ascii="Times New Roman" w:hAnsi="Times New Roman" w:cs="Times New Roman"/>
          <w:b w:val="0"/>
          <w:color w:val="000000" w:themeColor="text1"/>
          <w:sz w:val="24"/>
          <w:szCs w:val="24"/>
        </w:rPr>
        <w:t>Australian Electoral Commission</w:t>
      </w:r>
      <w:r w:rsidRPr="008E1356">
        <w:rPr>
          <w:rFonts w:ascii="Times New Roman" w:hAnsi="Times New Roman" w:cs="Times New Roman"/>
          <w:b w:val="0"/>
          <w:color w:val="000000" w:themeColor="text1"/>
          <w:sz w:val="24"/>
          <w:szCs w:val="24"/>
        </w:rPr>
        <w:t xml:space="preserve"> and indeed government agencies generally </w:t>
      </w:r>
      <w:r w:rsidR="00F21D9A">
        <w:rPr>
          <w:rFonts w:ascii="Times New Roman" w:hAnsi="Times New Roman" w:cs="Times New Roman"/>
          <w:b w:val="0"/>
          <w:color w:val="000000" w:themeColor="text1"/>
          <w:sz w:val="24"/>
          <w:szCs w:val="24"/>
        </w:rPr>
        <w:t>with</w:t>
      </w:r>
      <w:r w:rsidRPr="008E1356">
        <w:rPr>
          <w:rFonts w:ascii="Times New Roman" w:hAnsi="Times New Roman" w:cs="Times New Roman"/>
          <w:b w:val="0"/>
          <w:color w:val="000000" w:themeColor="text1"/>
          <w:sz w:val="24"/>
          <w:szCs w:val="24"/>
        </w:rPr>
        <w:t xml:space="preserve"> regulatory powers that are exercised to help keep community bodies accountable for their actions and compliant with the law, are particularly at risk of having their reputations tarnished if they are found to </w:t>
      </w:r>
      <w:r w:rsidR="00AC1A4D">
        <w:rPr>
          <w:rFonts w:ascii="Times New Roman" w:hAnsi="Times New Roman" w:cs="Times New Roman"/>
          <w:b w:val="0"/>
          <w:color w:val="000000" w:themeColor="text1"/>
          <w:sz w:val="24"/>
          <w:szCs w:val="24"/>
        </w:rPr>
        <w:t>not be meeting</w:t>
      </w:r>
      <w:r w:rsidRPr="008E1356">
        <w:rPr>
          <w:rFonts w:ascii="Times New Roman" w:hAnsi="Times New Roman" w:cs="Times New Roman"/>
          <w:b w:val="0"/>
          <w:color w:val="000000" w:themeColor="text1"/>
          <w:sz w:val="24"/>
          <w:szCs w:val="24"/>
        </w:rPr>
        <w:t xml:space="preserve"> the high standards of professional conduct they are expected to follow in the performance of their responsibilities.</w:t>
      </w:r>
      <w:bookmarkEnd w:id="107"/>
      <w:r w:rsidRPr="008E1356">
        <w:rPr>
          <w:rFonts w:ascii="Times New Roman" w:hAnsi="Times New Roman" w:cs="Times New Roman"/>
          <w:b w:val="0"/>
          <w:color w:val="000000" w:themeColor="text1"/>
          <w:sz w:val="24"/>
          <w:szCs w:val="24"/>
        </w:rPr>
        <w:t xml:space="preserve"> </w:t>
      </w:r>
    </w:p>
    <w:p w:rsidR="000E0682" w:rsidRPr="008E1356" w:rsidRDefault="000E0682" w:rsidP="00F21D9A">
      <w:pPr>
        <w:pStyle w:val="Heading2"/>
        <w:numPr>
          <w:ilvl w:val="1"/>
          <w:numId w:val="21"/>
        </w:numPr>
        <w:ind w:left="709" w:hanging="709"/>
        <w:rPr>
          <w:rFonts w:ascii="Times New Roman" w:hAnsi="Times New Roman" w:cs="Times New Roman"/>
          <w:b w:val="0"/>
          <w:color w:val="000000" w:themeColor="text1"/>
          <w:sz w:val="24"/>
          <w:szCs w:val="24"/>
        </w:rPr>
      </w:pPr>
      <w:bookmarkStart w:id="108" w:name="_Toc339540948"/>
      <w:r w:rsidRPr="008E1356">
        <w:rPr>
          <w:rFonts w:ascii="Times New Roman" w:hAnsi="Times New Roman" w:cs="Times New Roman"/>
          <w:b w:val="0"/>
          <w:color w:val="000000" w:themeColor="text1"/>
          <w:sz w:val="24"/>
          <w:szCs w:val="24"/>
        </w:rPr>
        <w:t xml:space="preserve">Implementation of the recommendations in this report </w:t>
      </w:r>
      <w:r w:rsidR="00AC1A4D">
        <w:rPr>
          <w:rFonts w:ascii="Times New Roman" w:hAnsi="Times New Roman" w:cs="Times New Roman"/>
          <w:b w:val="0"/>
          <w:color w:val="000000" w:themeColor="text1"/>
          <w:sz w:val="24"/>
          <w:szCs w:val="24"/>
        </w:rPr>
        <w:t>is designed to provide</w:t>
      </w:r>
      <w:r w:rsidRPr="008E1356">
        <w:rPr>
          <w:rFonts w:ascii="Times New Roman" w:hAnsi="Times New Roman" w:cs="Times New Roman"/>
          <w:b w:val="0"/>
          <w:color w:val="000000" w:themeColor="text1"/>
          <w:sz w:val="24"/>
          <w:szCs w:val="24"/>
        </w:rPr>
        <w:t xml:space="preserve"> the Commission </w:t>
      </w:r>
      <w:r w:rsidR="00AC1A4D">
        <w:rPr>
          <w:rFonts w:ascii="Times New Roman" w:hAnsi="Times New Roman" w:cs="Times New Roman"/>
          <w:b w:val="0"/>
          <w:color w:val="000000" w:themeColor="text1"/>
          <w:sz w:val="24"/>
          <w:szCs w:val="24"/>
        </w:rPr>
        <w:t>with</w:t>
      </w:r>
      <w:r w:rsidRPr="008E1356">
        <w:rPr>
          <w:rFonts w:ascii="Times New Roman" w:hAnsi="Times New Roman" w:cs="Times New Roman"/>
          <w:b w:val="0"/>
          <w:color w:val="000000" w:themeColor="text1"/>
          <w:sz w:val="24"/>
          <w:szCs w:val="24"/>
        </w:rPr>
        <w:t xml:space="preserve"> a more effective compliance program </w:t>
      </w:r>
      <w:r w:rsidR="00AC1A4D">
        <w:rPr>
          <w:rFonts w:ascii="Times New Roman" w:hAnsi="Times New Roman" w:cs="Times New Roman"/>
          <w:b w:val="0"/>
          <w:color w:val="000000" w:themeColor="text1"/>
          <w:sz w:val="24"/>
          <w:szCs w:val="24"/>
        </w:rPr>
        <w:t>and</w:t>
      </w:r>
      <w:r w:rsidRPr="008E1356">
        <w:rPr>
          <w:rFonts w:ascii="Times New Roman" w:hAnsi="Times New Roman" w:cs="Times New Roman"/>
          <w:b w:val="0"/>
          <w:color w:val="000000" w:themeColor="text1"/>
          <w:sz w:val="24"/>
          <w:szCs w:val="24"/>
        </w:rPr>
        <w:t xml:space="preserve"> a more developed and competent in</w:t>
      </w:r>
      <w:r w:rsidR="00AC1A4D">
        <w:rPr>
          <w:rFonts w:ascii="Times New Roman" w:hAnsi="Times New Roman" w:cs="Times New Roman"/>
          <w:b w:val="0"/>
          <w:color w:val="000000" w:themeColor="text1"/>
          <w:sz w:val="24"/>
          <w:szCs w:val="24"/>
        </w:rPr>
        <w:t xml:space="preserve"> house investigative capability</w:t>
      </w:r>
      <w:r w:rsidRPr="008E1356">
        <w:rPr>
          <w:rFonts w:ascii="Times New Roman" w:hAnsi="Times New Roman" w:cs="Times New Roman"/>
          <w:b w:val="0"/>
          <w:color w:val="000000" w:themeColor="text1"/>
          <w:sz w:val="24"/>
          <w:szCs w:val="24"/>
        </w:rPr>
        <w:t xml:space="preserve"> to deal with any future significant investigations across the Commission as a whole.</w:t>
      </w:r>
      <w:bookmarkEnd w:id="108"/>
      <w:r w:rsidR="00AC1A4D">
        <w:rPr>
          <w:rFonts w:ascii="Times New Roman" w:hAnsi="Times New Roman" w:cs="Times New Roman"/>
          <w:b w:val="0"/>
          <w:color w:val="000000" w:themeColor="text1"/>
          <w:sz w:val="24"/>
          <w:szCs w:val="24"/>
        </w:rPr>
        <w:t xml:space="preserve">  In so doing, the Commission will be better able to provide a stronger sense of assurance to the community and the Parliament that the integrity of the funding and disclosure provisions of the Electoral Act are being protected properly.</w:t>
      </w:r>
    </w:p>
    <w:p w:rsidR="00307729" w:rsidRPr="008E1356" w:rsidRDefault="00307729" w:rsidP="003926CA">
      <w:pPr>
        <w:rPr>
          <w:rFonts w:ascii="Times New Roman" w:hAnsi="Times New Roman" w:cs="Times New Roman"/>
          <w:color w:val="000000" w:themeColor="text1"/>
          <w:sz w:val="24"/>
          <w:szCs w:val="24"/>
        </w:rPr>
      </w:pPr>
    </w:p>
    <w:p w:rsidR="00307729" w:rsidRDefault="00307729" w:rsidP="003926CA">
      <w:pPr>
        <w:rPr>
          <w:rFonts w:ascii="Times New Roman" w:hAnsi="Times New Roman" w:cs="Times New Roman"/>
          <w:sz w:val="24"/>
          <w:szCs w:val="24"/>
        </w:rPr>
      </w:pPr>
    </w:p>
    <w:p w:rsidR="00262920" w:rsidRPr="00124116" w:rsidRDefault="00AC1A4D" w:rsidP="003926CA">
      <w:pPr>
        <w:rPr>
          <w:rFonts w:ascii="Times New Roman" w:hAnsi="Times New Roman" w:cs="Times New Roman"/>
          <w:sz w:val="24"/>
          <w:szCs w:val="24"/>
        </w:rPr>
      </w:pPr>
      <w:r>
        <w:rPr>
          <w:rFonts w:ascii="Times New Roman" w:hAnsi="Times New Roman" w:cs="Times New Roman"/>
          <w:sz w:val="24"/>
          <w:szCs w:val="24"/>
        </w:rPr>
        <w:br w:type="page"/>
      </w:r>
    </w:p>
    <w:p w:rsidR="001E3E7B" w:rsidRPr="00FF61A6" w:rsidRDefault="001E3E7B" w:rsidP="00C9247A">
      <w:pPr>
        <w:pStyle w:val="Heading1"/>
        <w:rPr>
          <w:rFonts w:ascii="Times New Roman" w:hAnsi="Times New Roman" w:cs="Times New Roman"/>
          <w:color w:val="auto"/>
        </w:rPr>
      </w:pPr>
      <w:bookmarkStart w:id="109" w:name="_Toc339540949"/>
      <w:r w:rsidRPr="00FF61A6">
        <w:rPr>
          <w:rFonts w:ascii="Times New Roman" w:hAnsi="Times New Roman" w:cs="Times New Roman"/>
          <w:color w:val="auto"/>
        </w:rPr>
        <w:lastRenderedPageBreak/>
        <w:t xml:space="preserve">Part </w:t>
      </w:r>
      <w:r w:rsidR="00384119">
        <w:rPr>
          <w:rFonts w:ascii="Times New Roman" w:hAnsi="Times New Roman" w:cs="Times New Roman"/>
          <w:color w:val="auto"/>
        </w:rPr>
        <w:t>2</w:t>
      </w:r>
      <w:r w:rsidR="003E41C4">
        <w:rPr>
          <w:rFonts w:ascii="Times New Roman" w:hAnsi="Times New Roman" w:cs="Times New Roman"/>
          <w:color w:val="auto"/>
        </w:rPr>
        <w:t>:</w:t>
      </w:r>
      <w:r w:rsidRPr="00FF61A6">
        <w:rPr>
          <w:rFonts w:ascii="Times New Roman" w:hAnsi="Times New Roman" w:cs="Times New Roman"/>
          <w:color w:val="auto"/>
        </w:rPr>
        <w:t xml:space="preserve"> An analysis of the investigatory powers of the</w:t>
      </w:r>
      <w:r w:rsidR="00495542" w:rsidRPr="00FF61A6">
        <w:rPr>
          <w:rFonts w:ascii="Times New Roman" w:hAnsi="Times New Roman" w:cs="Times New Roman"/>
          <w:color w:val="auto"/>
        </w:rPr>
        <w:t xml:space="preserve"> Commission</w:t>
      </w:r>
      <w:r w:rsidRPr="00FF61A6">
        <w:rPr>
          <w:rFonts w:ascii="Times New Roman" w:hAnsi="Times New Roman" w:cs="Times New Roman"/>
          <w:color w:val="auto"/>
        </w:rPr>
        <w:t xml:space="preserve"> associated with the disclosure and compliance provisions of Part XX of the Electoral Act</w:t>
      </w:r>
      <w:bookmarkEnd w:id="109"/>
    </w:p>
    <w:p w:rsidR="00DC36D9" w:rsidRPr="00DC36D9" w:rsidRDefault="00B30493" w:rsidP="00DC36D9">
      <w:pPr>
        <w:pStyle w:val="Heading2"/>
        <w:numPr>
          <w:ilvl w:val="1"/>
          <w:numId w:val="27"/>
        </w:numPr>
        <w:ind w:left="567" w:hanging="567"/>
        <w:rPr>
          <w:rFonts w:ascii="Times New Roman" w:hAnsi="Times New Roman" w:cs="Times New Roman"/>
          <w:b w:val="0"/>
          <w:color w:val="auto"/>
          <w:sz w:val="24"/>
          <w:szCs w:val="24"/>
        </w:rPr>
      </w:pPr>
      <w:bookmarkStart w:id="110" w:name="_Toc339540950"/>
      <w:r w:rsidRPr="00B30493">
        <w:rPr>
          <w:rFonts w:ascii="Times New Roman" w:hAnsi="Times New Roman" w:cs="Times New Roman"/>
          <w:b w:val="0"/>
          <w:color w:val="auto"/>
          <w:sz w:val="24"/>
          <w:szCs w:val="24"/>
        </w:rPr>
        <w:t>The Commonwealth disclosure and compliance scheme operates in pursuance of two key outcomes through two different means:</w:t>
      </w:r>
    </w:p>
    <w:p w:rsidR="00DC36D9" w:rsidRDefault="00DC36D9" w:rsidP="00DC36D9">
      <w:pPr>
        <w:pStyle w:val="ListParagraph"/>
        <w:spacing w:after="0" w:line="240" w:lineRule="auto"/>
        <w:ind w:left="1080"/>
        <w:rPr>
          <w:rFonts w:ascii="Times New Roman" w:hAnsi="Times New Roman" w:cs="Times New Roman"/>
          <w:sz w:val="24"/>
          <w:szCs w:val="24"/>
        </w:rPr>
      </w:pPr>
    </w:p>
    <w:p w:rsidR="00B30493" w:rsidRPr="00816793" w:rsidRDefault="00B30493" w:rsidP="00B30493">
      <w:pPr>
        <w:pStyle w:val="ListParagraph"/>
        <w:numPr>
          <w:ilvl w:val="0"/>
          <w:numId w:val="12"/>
        </w:numPr>
        <w:spacing w:after="0" w:line="240" w:lineRule="auto"/>
        <w:rPr>
          <w:rFonts w:ascii="Times New Roman" w:hAnsi="Times New Roman" w:cs="Times New Roman"/>
          <w:sz w:val="24"/>
          <w:szCs w:val="24"/>
        </w:rPr>
      </w:pPr>
      <w:r w:rsidRPr="00816793">
        <w:rPr>
          <w:rFonts w:ascii="Times New Roman" w:hAnsi="Times New Roman" w:cs="Times New Roman"/>
          <w:sz w:val="24"/>
          <w:szCs w:val="24"/>
        </w:rPr>
        <w:t xml:space="preserve">It seeks to obtain the voluntary compliance of the </w:t>
      </w:r>
      <w:r>
        <w:rPr>
          <w:rFonts w:ascii="Times New Roman" w:hAnsi="Times New Roman" w:cs="Times New Roman"/>
          <w:sz w:val="24"/>
          <w:szCs w:val="24"/>
        </w:rPr>
        <w:t>willing</w:t>
      </w:r>
      <w:r w:rsidRPr="00816793">
        <w:rPr>
          <w:rFonts w:ascii="Times New Roman" w:hAnsi="Times New Roman" w:cs="Times New Roman"/>
          <w:sz w:val="24"/>
          <w:szCs w:val="24"/>
        </w:rPr>
        <w:t xml:space="preserve"> by educating them about their obligations (for example through guides</w:t>
      </w:r>
      <w:r>
        <w:rPr>
          <w:rFonts w:ascii="Times New Roman" w:hAnsi="Times New Roman" w:cs="Times New Roman"/>
          <w:sz w:val="24"/>
          <w:szCs w:val="24"/>
        </w:rPr>
        <w:t xml:space="preserve"> and the website</w:t>
      </w:r>
      <w:r w:rsidRPr="00816793">
        <w:rPr>
          <w:rFonts w:ascii="Times New Roman" w:hAnsi="Times New Roman" w:cs="Times New Roman"/>
          <w:sz w:val="24"/>
          <w:szCs w:val="24"/>
        </w:rPr>
        <w:t xml:space="preserve">) and relationship building.  </w:t>
      </w:r>
    </w:p>
    <w:p w:rsidR="00B30493" w:rsidRPr="00816793" w:rsidRDefault="00B30493" w:rsidP="00B30493">
      <w:pPr>
        <w:pStyle w:val="ListParagraph"/>
        <w:rPr>
          <w:rFonts w:ascii="Times New Roman" w:hAnsi="Times New Roman" w:cs="Times New Roman"/>
          <w:sz w:val="24"/>
          <w:szCs w:val="24"/>
        </w:rPr>
      </w:pPr>
    </w:p>
    <w:p w:rsidR="00B30493" w:rsidRPr="00816793" w:rsidRDefault="00B30493" w:rsidP="00B30493">
      <w:pPr>
        <w:pStyle w:val="ListParagraph"/>
        <w:numPr>
          <w:ilvl w:val="1"/>
          <w:numId w:val="12"/>
        </w:numPr>
        <w:spacing w:after="0" w:line="240" w:lineRule="auto"/>
        <w:rPr>
          <w:rFonts w:ascii="Times New Roman" w:hAnsi="Times New Roman" w:cs="Times New Roman"/>
          <w:sz w:val="24"/>
          <w:szCs w:val="24"/>
        </w:rPr>
      </w:pPr>
      <w:r w:rsidRPr="00816793">
        <w:rPr>
          <w:rFonts w:ascii="Times New Roman" w:hAnsi="Times New Roman" w:cs="Times New Roman"/>
          <w:sz w:val="24"/>
          <w:szCs w:val="24"/>
        </w:rPr>
        <w:t xml:space="preserve">This also involves a ‘deterrence element’ in that the </w:t>
      </w:r>
      <w:r>
        <w:rPr>
          <w:rFonts w:ascii="Times New Roman" w:hAnsi="Times New Roman" w:cs="Times New Roman"/>
          <w:sz w:val="24"/>
          <w:szCs w:val="24"/>
        </w:rPr>
        <w:t>willing</w:t>
      </w:r>
      <w:r w:rsidRPr="00816793">
        <w:rPr>
          <w:rFonts w:ascii="Times New Roman" w:hAnsi="Times New Roman" w:cs="Times New Roman"/>
          <w:sz w:val="24"/>
          <w:szCs w:val="24"/>
        </w:rPr>
        <w:t xml:space="preserve"> will comply with legislation and meet their obligations in part because of a fear or awareness that if they do not, there could be enforcement action.</w:t>
      </w:r>
    </w:p>
    <w:p w:rsidR="00B30493" w:rsidRPr="00816793" w:rsidRDefault="00B30493" w:rsidP="00B30493">
      <w:pPr>
        <w:pStyle w:val="ListParagraph"/>
        <w:rPr>
          <w:rFonts w:ascii="Times New Roman" w:hAnsi="Times New Roman" w:cs="Times New Roman"/>
          <w:sz w:val="24"/>
          <w:szCs w:val="24"/>
        </w:rPr>
      </w:pPr>
    </w:p>
    <w:p w:rsidR="00B30493" w:rsidRPr="00816793" w:rsidRDefault="00B30493" w:rsidP="00B30493">
      <w:pPr>
        <w:pStyle w:val="ListParagraph"/>
        <w:numPr>
          <w:ilvl w:val="0"/>
          <w:numId w:val="12"/>
        </w:numPr>
        <w:spacing w:after="0" w:line="240" w:lineRule="auto"/>
        <w:rPr>
          <w:rFonts w:ascii="Times New Roman" w:hAnsi="Times New Roman" w:cs="Times New Roman"/>
          <w:sz w:val="24"/>
          <w:szCs w:val="24"/>
        </w:rPr>
      </w:pPr>
      <w:r w:rsidRPr="00816793">
        <w:rPr>
          <w:rFonts w:ascii="Times New Roman" w:hAnsi="Times New Roman" w:cs="Times New Roman"/>
          <w:sz w:val="24"/>
          <w:szCs w:val="24"/>
        </w:rPr>
        <w:t xml:space="preserve">It seeks to obtain the enforced compliance of the </w:t>
      </w:r>
      <w:r>
        <w:rPr>
          <w:rFonts w:ascii="Times New Roman" w:hAnsi="Times New Roman" w:cs="Times New Roman"/>
          <w:sz w:val="24"/>
          <w:szCs w:val="24"/>
        </w:rPr>
        <w:t>unwilling</w:t>
      </w:r>
      <w:r w:rsidRPr="00816793">
        <w:rPr>
          <w:rFonts w:ascii="Times New Roman" w:hAnsi="Times New Roman" w:cs="Times New Roman"/>
          <w:sz w:val="24"/>
          <w:szCs w:val="24"/>
        </w:rPr>
        <w:t xml:space="preserve"> using the enforcement powers in Part XX of the Electoral Act</w:t>
      </w:r>
      <w:r>
        <w:rPr>
          <w:rFonts w:ascii="Times New Roman" w:hAnsi="Times New Roman" w:cs="Times New Roman"/>
          <w:sz w:val="24"/>
          <w:szCs w:val="24"/>
        </w:rPr>
        <w:t>.</w:t>
      </w:r>
      <w:r w:rsidRPr="00816793">
        <w:rPr>
          <w:rStyle w:val="FootnoteReference"/>
          <w:rFonts w:ascii="Times New Roman" w:hAnsi="Times New Roman" w:cs="Times New Roman"/>
          <w:sz w:val="24"/>
          <w:szCs w:val="24"/>
        </w:rPr>
        <w:footnoteReference w:id="35"/>
      </w:r>
    </w:p>
    <w:p w:rsidR="00B30493" w:rsidRPr="00816793" w:rsidRDefault="00B30493" w:rsidP="00B30493">
      <w:pPr>
        <w:spacing w:after="0" w:line="240" w:lineRule="auto"/>
        <w:ind w:left="360"/>
        <w:rPr>
          <w:rFonts w:ascii="Times New Roman" w:hAnsi="Times New Roman" w:cs="Times New Roman"/>
          <w:sz w:val="24"/>
          <w:szCs w:val="24"/>
        </w:rPr>
      </w:pPr>
    </w:p>
    <w:p w:rsidR="00B30493" w:rsidRDefault="00B30493" w:rsidP="00B1306E">
      <w:pPr>
        <w:ind w:left="567"/>
        <w:rPr>
          <w:rFonts w:ascii="Times New Roman" w:hAnsi="Times New Roman" w:cs="Times New Roman"/>
          <w:sz w:val="24"/>
          <w:szCs w:val="24"/>
        </w:rPr>
      </w:pPr>
      <w:r w:rsidRPr="00816793">
        <w:rPr>
          <w:rFonts w:ascii="Times New Roman" w:hAnsi="Times New Roman" w:cs="Times New Roman"/>
          <w:sz w:val="24"/>
          <w:szCs w:val="24"/>
        </w:rPr>
        <w:t xml:space="preserve">The way in which the </w:t>
      </w:r>
      <w:r>
        <w:rPr>
          <w:rFonts w:ascii="Times New Roman" w:hAnsi="Times New Roman" w:cs="Times New Roman"/>
          <w:sz w:val="24"/>
          <w:szCs w:val="24"/>
        </w:rPr>
        <w:t>Commission</w:t>
      </w:r>
      <w:r w:rsidRPr="00816793">
        <w:rPr>
          <w:rFonts w:ascii="Times New Roman" w:hAnsi="Times New Roman" w:cs="Times New Roman"/>
          <w:sz w:val="24"/>
          <w:szCs w:val="24"/>
        </w:rPr>
        <w:t xml:space="preserve"> balances these two aspects of obtaining compliance with the scheme should be a central consideration in its overall administration of the disclosure </w:t>
      </w:r>
      <w:r>
        <w:rPr>
          <w:rFonts w:ascii="Times New Roman" w:hAnsi="Times New Roman" w:cs="Times New Roman"/>
          <w:sz w:val="24"/>
          <w:szCs w:val="24"/>
        </w:rPr>
        <w:t>and compliance function.</w:t>
      </w:r>
    </w:p>
    <w:p w:rsidR="00880A51" w:rsidRPr="00DE6E1C" w:rsidRDefault="00880A51" w:rsidP="00DE6E1C">
      <w:pPr>
        <w:pStyle w:val="Heading2"/>
        <w:rPr>
          <w:rFonts w:ascii="Times New Roman" w:hAnsi="Times New Roman" w:cs="Times New Roman"/>
          <w:color w:val="auto"/>
        </w:rPr>
      </w:pPr>
      <w:r w:rsidRPr="00DE6E1C">
        <w:rPr>
          <w:rFonts w:ascii="Times New Roman" w:hAnsi="Times New Roman" w:cs="Times New Roman"/>
          <w:color w:val="auto"/>
        </w:rPr>
        <w:t>The Commission’s enforcement powers</w:t>
      </w:r>
    </w:p>
    <w:bookmarkEnd w:id="110"/>
    <w:p w:rsidR="001E3E7B" w:rsidRPr="00880A51" w:rsidRDefault="001E3E7B" w:rsidP="00880A51">
      <w:pPr>
        <w:pStyle w:val="Heading2"/>
        <w:numPr>
          <w:ilvl w:val="1"/>
          <w:numId w:val="27"/>
        </w:numPr>
        <w:ind w:left="567" w:hanging="567"/>
        <w:rPr>
          <w:rFonts w:ascii="Times New Roman" w:hAnsi="Times New Roman" w:cs="Times New Roman"/>
          <w:b w:val="0"/>
          <w:color w:val="auto"/>
        </w:rPr>
      </w:pPr>
      <w:r w:rsidRPr="00880A51">
        <w:rPr>
          <w:rFonts w:ascii="Times New Roman" w:hAnsi="Times New Roman" w:cs="Times New Roman"/>
          <w:b w:val="0"/>
          <w:color w:val="auto"/>
          <w:sz w:val="24"/>
          <w:szCs w:val="24"/>
        </w:rPr>
        <w:t xml:space="preserve">There are three key provisions through which the Electoral Act seeks to effect enforcement action:  </w:t>
      </w:r>
    </w:p>
    <w:p w:rsidR="00DC36D9" w:rsidRDefault="00DC36D9" w:rsidP="00DC36D9">
      <w:pPr>
        <w:pStyle w:val="ListParagraph"/>
        <w:spacing w:after="0" w:line="240" w:lineRule="auto"/>
        <w:ind w:left="1080"/>
        <w:rPr>
          <w:rFonts w:ascii="Times New Roman" w:hAnsi="Times New Roman" w:cs="Times New Roman"/>
          <w:sz w:val="24"/>
          <w:szCs w:val="24"/>
        </w:rPr>
      </w:pPr>
    </w:p>
    <w:p w:rsidR="001E3E7B" w:rsidRPr="00816793" w:rsidRDefault="001E3E7B" w:rsidP="00420F49">
      <w:pPr>
        <w:pStyle w:val="ListParagraph"/>
        <w:numPr>
          <w:ilvl w:val="0"/>
          <w:numId w:val="13"/>
        </w:numPr>
        <w:spacing w:after="0" w:line="240" w:lineRule="auto"/>
        <w:rPr>
          <w:rFonts w:ascii="Times New Roman" w:hAnsi="Times New Roman" w:cs="Times New Roman"/>
          <w:sz w:val="24"/>
          <w:szCs w:val="24"/>
        </w:rPr>
      </w:pPr>
      <w:r w:rsidRPr="00816793">
        <w:rPr>
          <w:rFonts w:ascii="Times New Roman" w:hAnsi="Times New Roman" w:cs="Times New Roman"/>
          <w:sz w:val="24"/>
          <w:szCs w:val="24"/>
        </w:rPr>
        <w:t>First, there is a general power in section 316(2A) that can be exercised to determine whether a prescribed person, financial controller of an associated entity or a political party agent has complied with Part XX</w:t>
      </w:r>
      <w:r w:rsidR="00D90D9A">
        <w:rPr>
          <w:rFonts w:ascii="Times New Roman" w:hAnsi="Times New Roman" w:cs="Times New Roman"/>
          <w:sz w:val="24"/>
          <w:szCs w:val="24"/>
        </w:rPr>
        <w:t>;</w:t>
      </w:r>
      <w:r w:rsidR="009C186C">
        <w:rPr>
          <w:rStyle w:val="FootnoteReference"/>
          <w:rFonts w:ascii="Times New Roman" w:hAnsi="Times New Roman" w:cs="Times New Roman"/>
          <w:sz w:val="24"/>
          <w:szCs w:val="24"/>
        </w:rPr>
        <w:footnoteReference w:id="36"/>
      </w:r>
      <w:r w:rsidRPr="00816793">
        <w:rPr>
          <w:rFonts w:ascii="Times New Roman" w:hAnsi="Times New Roman" w:cs="Times New Roman"/>
          <w:sz w:val="24"/>
          <w:szCs w:val="24"/>
        </w:rPr>
        <w:t xml:space="preserve">  </w:t>
      </w:r>
    </w:p>
    <w:p w:rsidR="001E3E7B" w:rsidRPr="00816793" w:rsidRDefault="001E3E7B" w:rsidP="001E3E7B">
      <w:pPr>
        <w:pStyle w:val="ListParagraph"/>
        <w:rPr>
          <w:rFonts w:ascii="Times New Roman" w:hAnsi="Times New Roman" w:cs="Times New Roman"/>
          <w:sz w:val="24"/>
          <w:szCs w:val="24"/>
        </w:rPr>
      </w:pPr>
    </w:p>
    <w:p w:rsidR="001E3E7B" w:rsidRDefault="001E3E7B" w:rsidP="00420F49">
      <w:pPr>
        <w:pStyle w:val="ListParagraph"/>
        <w:numPr>
          <w:ilvl w:val="0"/>
          <w:numId w:val="13"/>
        </w:numPr>
        <w:spacing w:after="0" w:line="240" w:lineRule="auto"/>
        <w:rPr>
          <w:rFonts w:ascii="Times New Roman" w:hAnsi="Times New Roman" w:cs="Times New Roman"/>
          <w:sz w:val="24"/>
          <w:szCs w:val="24"/>
        </w:rPr>
      </w:pPr>
      <w:r w:rsidRPr="00816793">
        <w:rPr>
          <w:rFonts w:ascii="Times New Roman" w:hAnsi="Times New Roman" w:cs="Times New Roman"/>
          <w:sz w:val="24"/>
          <w:szCs w:val="24"/>
        </w:rPr>
        <w:t xml:space="preserve">Second, there are powers in section 316(3) and section 316(3A) that allow the </w:t>
      </w:r>
      <w:r w:rsidR="00495542">
        <w:rPr>
          <w:rFonts w:ascii="Times New Roman" w:hAnsi="Times New Roman" w:cs="Times New Roman"/>
          <w:sz w:val="24"/>
          <w:szCs w:val="24"/>
        </w:rPr>
        <w:t>Commission</w:t>
      </w:r>
      <w:r w:rsidRPr="00816793">
        <w:rPr>
          <w:rFonts w:ascii="Times New Roman" w:hAnsi="Times New Roman" w:cs="Times New Roman"/>
          <w:sz w:val="24"/>
          <w:szCs w:val="24"/>
        </w:rPr>
        <w:t xml:space="preserve"> to undertake investigations where it has ‘reasonable grounds’ to do so, in relation to a contravention or possible contravention of the part or regarding whether an entity is or was at a particular time, an associated entity</w:t>
      </w:r>
      <w:r w:rsidR="00D90D9A">
        <w:rPr>
          <w:rFonts w:ascii="Times New Roman" w:hAnsi="Times New Roman" w:cs="Times New Roman"/>
          <w:sz w:val="24"/>
          <w:szCs w:val="24"/>
        </w:rPr>
        <w:t>.</w:t>
      </w:r>
      <w:r w:rsidR="009C186C">
        <w:rPr>
          <w:rStyle w:val="FootnoteReference"/>
          <w:rFonts w:ascii="Times New Roman" w:hAnsi="Times New Roman" w:cs="Times New Roman"/>
          <w:sz w:val="24"/>
          <w:szCs w:val="24"/>
        </w:rPr>
        <w:footnoteReference w:id="37"/>
      </w:r>
      <w:r w:rsidRPr="00816793">
        <w:rPr>
          <w:rFonts w:ascii="Times New Roman" w:hAnsi="Times New Roman" w:cs="Times New Roman"/>
          <w:sz w:val="24"/>
          <w:szCs w:val="24"/>
        </w:rPr>
        <w:t xml:space="preserve"> </w:t>
      </w:r>
    </w:p>
    <w:p w:rsidR="0079330A" w:rsidRPr="0079330A" w:rsidRDefault="0079330A" w:rsidP="0050359E">
      <w:pPr>
        <w:spacing w:after="0" w:line="240" w:lineRule="auto"/>
        <w:rPr>
          <w:rFonts w:ascii="Times New Roman" w:hAnsi="Times New Roman" w:cs="Times New Roman"/>
          <w:sz w:val="24"/>
          <w:szCs w:val="24"/>
        </w:rPr>
      </w:pPr>
    </w:p>
    <w:p w:rsidR="001E3E7B" w:rsidRPr="008E1356" w:rsidRDefault="001E3E7B" w:rsidP="00B1306E">
      <w:pPr>
        <w:pStyle w:val="Heading2"/>
        <w:numPr>
          <w:ilvl w:val="1"/>
          <w:numId w:val="27"/>
        </w:numPr>
        <w:spacing w:before="0"/>
        <w:ind w:left="567" w:hanging="567"/>
        <w:rPr>
          <w:rFonts w:ascii="Times New Roman" w:hAnsi="Times New Roman" w:cs="Times New Roman"/>
          <w:b w:val="0"/>
          <w:color w:val="000000" w:themeColor="text1"/>
          <w:sz w:val="24"/>
          <w:szCs w:val="24"/>
        </w:rPr>
      </w:pPr>
      <w:bookmarkStart w:id="111" w:name="_Toc339540951"/>
      <w:r w:rsidRPr="008E1356">
        <w:rPr>
          <w:rFonts w:ascii="Times New Roman" w:hAnsi="Times New Roman" w:cs="Times New Roman"/>
          <w:b w:val="0"/>
          <w:color w:val="000000" w:themeColor="text1"/>
          <w:sz w:val="24"/>
          <w:szCs w:val="24"/>
        </w:rPr>
        <w:t xml:space="preserve">If an attempt is made to link each of the enforcement provisions to the means by which the scheme attempts to operate as described above (voluntary compliance of the </w:t>
      </w:r>
      <w:r w:rsidR="00394E49">
        <w:rPr>
          <w:rFonts w:ascii="Times New Roman" w:hAnsi="Times New Roman" w:cs="Times New Roman"/>
          <w:b w:val="0"/>
          <w:color w:val="000000" w:themeColor="text1"/>
          <w:sz w:val="24"/>
          <w:szCs w:val="24"/>
        </w:rPr>
        <w:t xml:space="preserve">willing </w:t>
      </w:r>
      <w:r w:rsidRPr="008E1356">
        <w:rPr>
          <w:rFonts w:ascii="Times New Roman" w:hAnsi="Times New Roman" w:cs="Times New Roman"/>
          <w:b w:val="0"/>
          <w:color w:val="000000" w:themeColor="text1"/>
          <w:sz w:val="24"/>
          <w:szCs w:val="24"/>
        </w:rPr>
        <w:t>and forced compliance of the un</w:t>
      </w:r>
      <w:r w:rsidR="00394E49">
        <w:rPr>
          <w:rFonts w:ascii="Times New Roman" w:hAnsi="Times New Roman" w:cs="Times New Roman"/>
          <w:b w:val="0"/>
          <w:color w:val="000000" w:themeColor="text1"/>
          <w:sz w:val="24"/>
          <w:szCs w:val="24"/>
        </w:rPr>
        <w:t>willing</w:t>
      </w:r>
      <w:r w:rsidRPr="008E1356">
        <w:rPr>
          <w:rFonts w:ascii="Times New Roman" w:hAnsi="Times New Roman" w:cs="Times New Roman"/>
          <w:b w:val="0"/>
          <w:color w:val="000000" w:themeColor="text1"/>
          <w:sz w:val="24"/>
          <w:szCs w:val="24"/>
        </w:rPr>
        <w:t>), section 316(3) and section 316(3A) would be classified as working  to achieve the forced compliance of the un</w:t>
      </w:r>
      <w:r w:rsidR="00394E49">
        <w:rPr>
          <w:rFonts w:ascii="Times New Roman" w:hAnsi="Times New Roman" w:cs="Times New Roman"/>
          <w:b w:val="0"/>
          <w:color w:val="000000" w:themeColor="text1"/>
          <w:sz w:val="24"/>
          <w:szCs w:val="24"/>
        </w:rPr>
        <w:t>willing</w:t>
      </w:r>
      <w:r w:rsidRPr="008E1356">
        <w:rPr>
          <w:rFonts w:ascii="Times New Roman" w:hAnsi="Times New Roman" w:cs="Times New Roman"/>
          <w:b w:val="0"/>
          <w:color w:val="000000" w:themeColor="text1"/>
          <w:sz w:val="24"/>
          <w:szCs w:val="24"/>
        </w:rPr>
        <w:t>.</w:t>
      </w:r>
      <w:bookmarkEnd w:id="111"/>
      <w:r w:rsidRPr="008E1356">
        <w:rPr>
          <w:rFonts w:ascii="Times New Roman" w:hAnsi="Times New Roman" w:cs="Times New Roman"/>
          <w:b w:val="0"/>
          <w:color w:val="000000" w:themeColor="text1"/>
          <w:sz w:val="24"/>
          <w:szCs w:val="24"/>
        </w:rPr>
        <w:t xml:space="preserve"> </w:t>
      </w:r>
    </w:p>
    <w:p w:rsidR="0064408C" w:rsidRDefault="0064408C" w:rsidP="001E3E7B">
      <w:pPr>
        <w:rPr>
          <w:rFonts w:ascii="Times New Roman" w:hAnsi="Times New Roman" w:cs="Times New Roman"/>
          <w:sz w:val="24"/>
          <w:szCs w:val="24"/>
        </w:rPr>
      </w:pPr>
    </w:p>
    <w:p w:rsidR="001E3E7B" w:rsidRPr="00816793" w:rsidRDefault="001E3E7B" w:rsidP="0050359E">
      <w:pPr>
        <w:ind w:left="567"/>
        <w:rPr>
          <w:rFonts w:ascii="Times New Roman" w:hAnsi="Times New Roman" w:cs="Times New Roman"/>
          <w:sz w:val="24"/>
          <w:szCs w:val="24"/>
        </w:rPr>
      </w:pPr>
      <w:r w:rsidRPr="00816793">
        <w:rPr>
          <w:rFonts w:ascii="Times New Roman" w:hAnsi="Times New Roman" w:cs="Times New Roman"/>
          <w:sz w:val="24"/>
          <w:szCs w:val="24"/>
        </w:rPr>
        <w:lastRenderedPageBreak/>
        <w:t>Importantly, the reasonable grounds limitation of section 316(3) often leads to disconnect between expectations as to:</w:t>
      </w:r>
    </w:p>
    <w:p w:rsidR="001E3E7B" w:rsidRPr="00816793" w:rsidRDefault="001E3E7B" w:rsidP="00420F49">
      <w:pPr>
        <w:pStyle w:val="ListParagraph"/>
        <w:numPr>
          <w:ilvl w:val="0"/>
          <w:numId w:val="14"/>
        </w:numPr>
        <w:spacing w:after="0" w:line="240" w:lineRule="auto"/>
        <w:rPr>
          <w:rFonts w:ascii="Times New Roman" w:hAnsi="Times New Roman" w:cs="Times New Roman"/>
          <w:sz w:val="24"/>
          <w:szCs w:val="24"/>
        </w:rPr>
      </w:pPr>
      <w:r w:rsidRPr="00816793">
        <w:rPr>
          <w:rFonts w:ascii="Times New Roman" w:hAnsi="Times New Roman" w:cs="Times New Roman"/>
          <w:sz w:val="24"/>
          <w:szCs w:val="24"/>
        </w:rPr>
        <w:t xml:space="preserve">Enforcement actions that </w:t>
      </w:r>
      <w:r w:rsidRPr="00816793">
        <w:rPr>
          <w:rFonts w:ascii="Times New Roman" w:hAnsi="Times New Roman" w:cs="Times New Roman"/>
          <w:i/>
          <w:sz w:val="24"/>
          <w:szCs w:val="24"/>
        </w:rPr>
        <w:t xml:space="preserve">should </w:t>
      </w:r>
      <w:r w:rsidRPr="00816793">
        <w:rPr>
          <w:rFonts w:ascii="Times New Roman" w:hAnsi="Times New Roman" w:cs="Times New Roman"/>
          <w:sz w:val="24"/>
          <w:szCs w:val="24"/>
        </w:rPr>
        <w:t>be taken in light of the broader aims of the scheme; and</w:t>
      </w:r>
    </w:p>
    <w:p w:rsidR="001E3E7B" w:rsidRPr="00816793" w:rsidRDefault="001E3E7B" w:rsidP="001E3E7B">
      <w:pPr>
        <w:pStyle w:val="ListParagraph"/>
        <w:rPr>
          <w:rFonts w:ascii="Times New Roman" w:hAnsi="Times New Roman" w:cs="Times New Roman"/>
          <w:sz w:val="24"/>
          <w:szCs w:val="24"/>
        </w:rPr>
      </w:pPr>
    </w:p>
    <w:p w:rsidR="001E3E7B" w:rsidRPr="00816793" w:rsidRDefault="001E3E7B" w:rsidP="00420F49">
      <w:pPr>
        <w:pStyle w:val="ListParagraph"/>
        <w:numPr>
          <w:ilvl w:val="0"/>
          <w:numId w:val="14"/>
        </w:numPr>
        <w:spacing w:after="0" w:line="240" w:lineRule="auto"/>
        <w:rPr>
          <w:rFonts w:ascii="Times New Roman" w:hAnsi="Times New Roman" w:cs="Times New Roman"/>
          <w:i/>
          <w:sz w:val="24"/>
          <w:szCs w:val="24"/>
        </w:rPr>
      </w:pPr>
      <w:r w:rsidRPr="00816793">
        <w:rPr>
          <w:rFonts w:ascii="Times New Roman" w:hAnsi="Times New Roman" w:cs="Times New Roman"/>
          <w:sz w:val="24"/>
          <w:szCs w:val="24"/>
        </w:rPr>
        <w:t xml:space="preserve">Enforcement actions that </w:t>
      </w:r>
      <w:r w:rsidRPr="00816793">
        <w:rPr>
          <w:rFonts w:ascii="Times New Roman" w:hAnsi="Times New Roman" w:cs="Times New Roman"/>
          <w:i/>
          <w:sz w:val="24"/>
          <w:szCs w:val="24"/>
        </w:rPr>
        <w:t xml:space="preserve">can </w:t>
      </w:r>
      <w:r w:rsidRPr="00816793">
        <w:rPr>
          <w:rFonts w:ascii="Times New Roman" w:hAnsi="Times New Roman" w:cs="Times New Roman"/>
          <w:sz w:val="24"/>
          <w:szCs w:val="24"/>
        </w:rPr>
        <w:t xml:space="preserve">be taken in light of the limitation on </w:t>
      </w:r>
      <w:r w:rsidR="00495542">
        <w:rPr>
          <w:rFonts w:ascii="Times New Roman" w:hAnsi="Times New Roman" w:cs="Times New Roman"/>
          <w:sz w:val="24"/>
          <w:szCs w:val="24"/>
        </w:rPr>
        <w:t>the Commission’s</w:t>
      </w:r>
      <w:r w:rsidRPr="00816793">
        <w:rPr>
          <w:rFonts w:ascii="Times New Roman" w:hAnsi="Times New Roman" w:cs="Times New Roman"/>
          <w:sz w:val="24"/>
          <w:szCs w:val="24"/>
        </w:rPr>
        <w:t xml:space="preserve"> powers by the ‘reasonable grounds’ requirement</w:t>
      </w:r>
      <w:r w:rsidR="00D90D9A">
        <w:rPr>
          <w:rFonts w:ascii="Times New Roman" w:hAnsi="Times New Roman" w:cs="Times New Roman"/>
          <w:sz w:val="24"/>
          <w:szCs w:val="24"/>
        </w:rPr>
        <w:t>.</w:t>
      </w:r>
      <w:r w:rsidRPr="00816793">
        <w:rPr>
          <w:rStyle w:val="FootnoteReference"/>
          <w:rFonts w:ascii="Times New Roman" w:hAnsi="Times New Roman" w:cs="Times New Roman"/>
          <w:sz w:val="24"/>
          <w:szCs w:val="24"/>
        </w:rPr>
        <w:footnoteReference w:id="38"/>
      </w:r>
    </w:p>
    <w:p w:rsidR="00AB152D" w:rsidRPr="000E54F9"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12" w:name="_Toc339540952"/>
      <w:r w:rsidRPr="008E1356">
        <w:rPr>
          <w:rFonts w:ascii="Times New Roman" w:hAnsi="Times New Roman" w:cs="Times New Roman"/>
          <w:b w:val="0"/>
          <w:color w:val="000000" w:themeColor="text1"/>
          <w:sz w:val="24"/>
          <w:szCs w:val="24"/>
        </w:rPr>
        <w:t xml:space="preserve">It is here that the agency has been subject to criticism throughout the operation of </w:t>
      </w:r>
      <w:r w:rsidR="00D72570">
        <w:rPr>
          <w:rFonts w:ascii="Times New Roman" w:hAnsi="Times New Roman" w:cs="Times New Roman"/>
          <w:b w:val="0"/>
          <w:color w:val="000000" w:themeColor="text1"/>
          <w:sz w:val="24"/>
          <w:szCs w:val="24"/>
        </w:rPr>
        <w:t xml:space="preserve">    </w:t>
      </w:r>
      <w:r w:rsidRPr="008E1356">
        <w:rPr>
          <w:rFonts w:ascii="Times New Roman" w:hAnsi="Times New Roman" w:cs="Times New Roman"/>
          <w:b w:val="0"/>
          <w:color w:val="000000" w:themeColor="text1"/>
          <w:sz w:val="24"/>
          <w:szCs w:val="24"/>
        </w:rPr>
        <w:t>Part XX of the Electoral Act</w:t>
      </w:r>
      <w:r w:rsidR="00D90D9A">
        <w:rPr>
          <w:rFonts w:ascii="Times New Roman" w:hAnsi="Times New Roman" w:cs="Times New Roman"/>
          <w:b w:val="0"/>
          <w:color w:val="000000" w:themeColor="text1"/>
          <w:sz w:val="24"/>
          <w:szCs w:val="24"/>
        </w:rPr>
        <w:t>.</w:t>
      </w:r>
      <w:r w:rsidRPr="008E1356">
        <w:rPr>
          <w:rStyle w:val="FootnoteReference"/>
          <w:rFonts w:ascii="Times New Roman" w:hAnsi="Times New Roman" w:cs="Times New Roman"/>
          <w:b w:val="0"/>
          <w:color w:val="000000" w:themeColor="text1"/>
          <w:sz w:val="24"/>
          <w:szCs w:val="24"/>
        </w:rPr>
        <w:footnoteReference w:id="39"/>
      </w:r>
      <w:bookmarkEnd w:id="112"/>
      <w:r w:rsidRPr="008E1356">
        <w:rPr>
          <w:rFonts w:ascii="Times New Roman" w:hAnsi="Times New Roman" w:cs="Times New Roman"/>
          <w:b w:val="0"/>
          <w:color w:val="000000" w:themeColor="text1"/>
          <w:sz w:val="24"/>
          <w:szCs w:val="24"/>
        </w:rPr>
        <w:t xml:space="preserve">  </w:t>
      </w:r>
    </w:p>
    <w:p w:rsidR="00AB152D" w:rsidRPr="00AB152D"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13" w:name="_Toc339540953"/>
      <w:r w:rsidRPr="008E1356">
        <w:rPr>
          <w:rFonts w:ascii="Times New Roman" w:hAnsi="Times New Roman" w:cs="Times New Roman"/>
          <w:b w:val="0"/>
          <w:color w:val="000000" w:themeColor="text1"/>
          <w:sz w:val="24"/>
          <w:szCs w:val="24"/>
        </w:rPr>
        <w:t xml:space="preserve">In contrast, section 316(2A), which was inserted into Part XX as a measure included in the </w:t>
      </w:r>
      <w:r w:rsidRPr="008E1356">
        <w:rPr>
          <w:rFonts w:ascii="Times New Roman" w:hAnsi="Times New Roman" w:cs="Times New Roman"/>
          <w:b w:val="0"/>
          <w:i/>
          <w:color w:val="000000" w:themeColor="text1"/>
          <w:sz w:val="24"/>
          <w:szCs w:val="24"/>
        </w:rPr>
        <w:t>Political Broadcasts and Political Disclosures Act 1991</w:t>
      </w:r>
      <w:r w:rsidRPr="008E1356">
        <w:rPr>
          <w:rFonts w:ascii="Times New Roman" w:hAnsi="Times New Roman" w:cs="Times New Roman"/>
          <w:b w:val="0"/>
          <w:color w:val="000000" w:themeColor="text1"/>
          <w:sz w:val="24"/>
          <w:szCs w:val="24"/>
        </w:rPr>
        <w:t>, states that a notice to produce documents or appear at a time and place to give evidence can be issued to determine ‘whether someone has complied with Part XX’.  That is, while the powers in section 316(3) and section 316(3A) are tempered by the need to have ‘reasonable grounds’ before they can be exercised and seemingly relate to potential ‘wrongdoing’ that may lead to prosecution action.  Section 316(2A) contains no such limitation or reference.</w:t>
      </w:r>
      <w:bookmarkEnd w:id="113"/>
      <w:r w:rsidRPr="008E1356">
        <w:rPr>
          <w:rFonts w:ascii="Times New Roman" w:hAnsi="Times New Roman" w:cs="Times New Roman"/>
          <w:b w:val="0"/>
          <w:color w:val="000000" w:themeColor="text1"/>
          <w:sz w:val="24"/>
          <w:szCs w:val="24"/>
        </w:rPr>
        <w:t xml:space="preserve"> </w:t>
      </w:r>
    </w:p>
    <w:p w:rsidR="00AB152D" w:rsidRPr="000E54F9" w:rsidRDefault="00FC3C30"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14" w:name="_Toc339540954"/>
      <w:r>
        <w:rPr>
          <w:rFonts w:ascii="Times New Roman" w:hAnsi="Times New Roman" w:cs="Times New Roman"/>
          <w:b w:val="0"/>
          <w:color w:val="000000" w:themeColor="text1"/>
          <w:sz w:val="24"/>
          <w:szCs w:val="24"/>
        </w:rPr>
        <w:t xml:space="preserve">Section 316(2A) does, however, limit the Commission’s power to serving a notice on </w:t>
      </w:r>
      <w:r w:rsidR="00810443">
        <w:rPr>
          <w:rFonts w:ascii="Times New Roman" w:hAnsi="Times New Roman" w:cs="Times New Roman"/>
          <w:b w:val="0"/>
          <w:color w:val="000000" w:themeColor="text1"/>
          <w:sz w:val="24"/>
          <w:szCs w:val="24"/>
        </w:rPr>
        <w:t>an agent or officer of a registered political party, a financial controller or officer of an associated entity and a ‘prescribed person’.</w:t>
      </w:r>
      <w:r w:rsidR="00810443">
        <w:rPr>
          <w:rStyle w:val="FootnoteReference"/>
          <w:rFonts w:ascii="Times New Roman" w:hAnsi="Times New Roman" w:cs="Times New Roman"/>
          <w:b w:val="0"/>
          <w:color w:val="000000" w:themeColor="text1"/>
          <w:sz w:val="24"/>
          <w:szCs w:val="24"/>
        </w:rPr>
        <w:footnoteReference w:id="40"/>
      </w:r>
      <w:r w:rsidR="00810443">
        <w:rPr>
          <w:rFonts w:ascii="Times New Roman" w:hAnsi="Times New Roman" w:cs="Times New Roman"/>
          <w:b w:val="0"/>
          <w:color w:val="000000" w:themeColor="text1"/>
          <w:sz w:val="24"/>
          <w:szCs w:val="24"/>
        </w:rPr>
        <w:t xml:space="preserve">  That is, people or organisations other than these do not come within its scope.  This would include any donors to political parties and third parties incurring political expenditure.  These bodies and individuals may only be issued with a notice under section 316(3) where the ‘reasonable grounds’ proviso is met’.</w:t>
      </w:r>
      <w:bookmarkEnd w:id="114"/>
    </w:p>
    <w:p w:rsidR="00AB152D"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15" w:name="_Toc339540955"/>
      <w:r w:rsidRPr="008E1356">
        <w:rPr>
          <w:rFonts w:ascii="Times New Roman" w:hAnsi="Times New Roman" w:cs="Times New Roman"/>
          <w:b w:val="0"/>
          <w:color w:val="000000" w:themeColor="text1"/>
          <w:sz w:val="24"/>
          <w:szCs w:val="24"/>
        </w:rPr>
        <w:t xml:space="preserve">An attempt to link section 316(2A) to a single limb of the voluntary and forced compliance dichotomy is not as straightforward as with section 316(3) and section 316(3A).  The compliance power could act as a deterrent so as to encourage the voluntary compliance of the </w:t>
      </w:r>
      <w:r w:rsidR="00394E49">
        <w:rPr>
          <w:rFonts w:ascii="Times New Roman" w:hAnsi="Times New Roman" w:cs="Times New Roman"/>
          <w:b w:val="0"/>
          <w:color w:val="000000" w:themeColor="text1"/>
          <w:sz w:val="24"/>
          <w:szCs w:val="24"/>
        </w:rPr>
        <w:t>willing</w:t>
      </w:r>
      <w:r w:rsidRPr="008E1356">
        <w:rPr>
          <w:rFonts w:ascii="Times New Roman" w:hAnsi="Times New Roman" w:cs="Times New Roman"/>
          <w:b w:val="0"/>
          <w:color w:val="000000" w:themeColor="text1"/>
          <w:sz w:val="24"/>
          <w:szCs w:val="24"/>
        </w:rPr>
        <w:t xml:space="preserve"> by providing an opportunity to make contact and educate the relevant actors on how best they can meet their obligation.  However, it could also be used as a means by which the perceived un</w:t>
      </w:r>
      <w:r w:rsidR="00394E49">
        <w:rPr>
          <w:rFonts w:ascii="Times New Roman" w:hAnsi="Times New Roman" w:cs="Times New Roman"/>
          <w:b w:val="0"/>
          <w:color w:val="000000" w:themeColor="text1"/>
          <w:sz w:val="24"/>
          <w:szCs w:val="24"/>
        </w:rPr>
        <w:t>willing</w:t>
      </w:r>
      <w:r w:rsidRPr="008E1356">
        <w:rPr>
          <w:rFonts w:ascii="Times New Roman" w:hAnsi="Times New Roman" w:cs="Times New Roman"/>
          <w:b w:val="0"/>
          <w:color w:val="000000" w:themeColor="text1"/>
          <w:sz w:val="24"/>
          <w:szCs w:val="24"/>
        </w:rPr>
        <w:t xml:space="preserve"> could be forced to comply where the reasonable grounds threshold may not necessarily be met in a legal sense.</w:t>
      </w:r>
      <w:bookmarkEnd w:id="115"/>
      <w:r w:rsidRPr="008E1356">
        <w:rPr>
          <w:rFonts w:ascii="Times New Roman" w:hAnsi="Times New Roman" w:cs="Times New Roman"/>
          <w:b w:val="0"/>
          <w:color w:val="000000" w:themeColor="text1"/>
          <w:sz w:val="24"/>
          <w:szCs w:val="24"/>
        </w:rPr>
        <w:t xml:space="preserve">  </w:t>
      </w:r>
    </w:p>
    <w:p w:rsidR="00AB152D" w:rsidRPr="00AB152D" w:rsidRDefault="00AB152D" w:rsidP="00AB152D"/>
    <w:p w:rsidR="001E3E7B" w:rsidRPr="00AB152D"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16" w:name="_Toc339540956"/>
      <w:r w:rsidRPr="008E1356">
        <w:rPr>
          <w:rFonts w:ascii="Times New Roman" w:hAnsi="Times New Roman" w:cs="Times New Roman"/>
          <w:b w:val="0"/>
          <w:color w:val="000000" w:themeColor="text1"/>
          <w:sz w:val="24"/>
          <w:szCs w:val="24"/>
        </w:rPr>
        <w:lastRenderedPageBreak/>
        <w:t xml:space="preserve">The issue that subsequently arises is whether section 316(2A) should be used at least in part, as a means to bridge the apparent disconnect between enforcement actions that </w:t>
      </w:r>
      <w:r w:rsidRPr="008E1356">
        <w:rPr>
          <w:rFonts w:ascii="Times New Roman" w:hAnsi="Times New Roman" w:cs="Times New Roman"/>
          <w:b w:val="0"/>
          <w:color w:val="000000" w:themeColor="text1"/>
          <w:sz w:val="24"/>
          <w:szCs w:val="24"/>
          <w:u w:val="single"/>
        </w:rPr>
        <w:t>can</w:t>
      </w:r>
      <w:r w:rsidRPr="008E1356">
        <w:rPr>
          <w:rFonts w:ascii="Times New Roman" w:hAnsi="Times New Roman" w:cs="Times New Roman"/>
          <w:b w:val="0"/>
          <w:color w:val="000000" w:themeColor="text1"/>
          <w:sz w:val="24"/>
          <w:szCs w:val="24"/>
        </w:rPr>
        <w:t xml:space="preserve"> and </w:t>
      </w:r>
      <w:r w:rsidRPr="008E1356">
        <w:rPr>
          <w:rFonts w:ascii="Times New Roman" w:hAnsi="Times New Roman" w:cs="Times New Roman"/>
          <w:b w:val="0"/>
          <w:color w:val="000000" w:themeColor="text1"/>
          <w:sz w:val="24"/>
          <w:szCs w:val="24"/>
          <w:u w:val="single"/>
        </w:rPr>
        <w:t>should</w:t>
      </w:r>
      <w:r w:rsidRPr="008E1356">
        <w:rPr>
          <w:rFonts w:ascii="Times New Roman" w:hAnsi="Times New Roman" w:cs="Times New Roman"/>
          <w:b w:val="0"/>
          <w:color w:val="000000" w:themeColor="text1"/>
          <w:sz w:val="24"/>
          <w:szCs w:val="24"/>
        </w:rPr>
        <w:t xml:space="preserve"> be taken through exercising the power conferred by the provision in a focused manner based on sound risk assessment frameworks and considered internal policies.  This is not to suggest the targeted exercise of the power would replace the current approach of reviewing each political party once in an electoral cycle.  The extent to which the two operate alongside each other is a question of degree and is a matter to be resolved during the implementation stages of a revised approach.</w:t>
      </w:r>
      <w:bookmarkEnd w:id="116"/>
      <w:r w:rsidRPr="008E1356">
        <w:rPr>
          <w:rFonts w:ascii="Times New Roman" w:hAnsi="Times New Roman" w:cs="Times New Roman"/>
          <w:b w:val="0"/>
          <w:color w:val="000000" w:themeColor="text1"/>
          <w:sz w:val="24"/>
          <w:szCs w:val="24"/>
        </w:rPr>
        <w:t xml:space="preserve"> </w:t>
      </w:r>
    </w:p>
    <w:p w:rsidR="009058C9" w:rsidRDefault="001E3E7B" w:rsidP="009058C9">
      <w:pPr>
        <w:pStyle w:val="Heading2"/>
        <w:numPr>
          <w:ilvl w:val="1"/>
          <w:numId w:val="27"/>
        </w:numPr>
        <w:spacing w:line="312" w:lineRule="auto"/>
        <w:ind w:left="567" w:hanging="567"/>
        <w:rPr>
          <w:rFonts w:ascii="Times New Roman" w:hAnsi="Times New Roman" w:cs="Times New Roman"/>
          <w:b w:val="0"/>
          <w:color w:val="000000" w:themeColor="text1"/>
          <w:sz w:val="24"/>
          <w:szCs w:val="24"/>
        </w:rPr>
      </w:pPr>
      <w:bookmarkStart w:id="117" w:name="_Toc339540957"/>
      <w:r w:rsidRPr="008E1356">
        <w:rPr>
          <w:rFonts w:ascii="Times New Roman" w:hAnsi="Times New Roman" w:cs="Times New Roman"/>
          <w:b w:val="0"/>
          <w:color w:val="000000" w:themeColor="text1"/>
          <w:sz w:val="24"/>
          <w:szCs w:val="24"/>
        </w:rPr>
        <w:t xml:space="preserve">The decision of the agency as to the way in which the section 316(2A) power is to be applied is paramount in determining the best way in which the agency can perform its disclosure and compliance function.  In making this decision, there </w:t>
      </w:r>
      <w:r w:rsidR="0068696D" w:rsidRPr="008E1356">
        <w:rPr>
          <w:rFonts w:ascii="Times New Roman" w:hAnsi="Times New Roman" w:cs="Times New Roman"/>
          <w:b w:val="0"/>
          <w:color w:val="000000" w:themeColor="text1"/>
          <w:sz w:val="24"/>
          <w:szCs w:val="24"/>
        </w:rPr>
        <w:t>is</w:t>
      </w:r>
      <w:r w:rsidRPr="008E1356">
        <w:rPr>
          <w:rFonts w:ascii="Times New Roman" w:hAnsi="Times New Roman" w:cs="Times New Roman"/>
          <w:b w:val="0"/>
          <w:color w:val="000000" w:themeColor="text1"/>
          <w:sz w:val="24"/>
          <w:szCs w:val="24"/>
        </w:rPr>
        <w:t xml:space="preserve"> a range of competing considerations including:</w:t>
      </w:r>
      <w:bookmarkEnd w:id="117"/>
    </w:p>
    <w:p w:rsidR="000E54F9" w:rsidRPr="000E54F9" w:rsidRDefault="000E54F9" w:rsidP="00DC36D9">
      <w:pPr>
        <w:spacing w:after="0"/>
      </w:pPr>
    </w:p>
    <w:p w:rsidR="001E3E7B" w:rsidRPr="00883A29" w:rsidRDefault="001E3E7B" w:rsidP="000E54F9">
      <w:pPr>
        <w:pStyle w:val="ListParagraph"/>
        <w:numPr>
          <w:ilvl w:val="0"/>
          <w:numId w:val="15"/>
        </w:numPr>
        <w:spacing w:after="0" w:line="240" w:lineRule="auto"/>
        <w:ind w:left="1434" w:hanging="357"/>
        <w:rPr>
          <w:rFonts w:ascii="Times New Roman" w:hAnsi="Times New Roman" w:cs="Times New Roman"/>
          <w:i/>
          <w:sz w:val="24"/>
          <w:szCs w:val="24"/>
        </w:rPr>
      </w:pPr>
      <w:r w:rsidRPr="00883A29">
        <w:rPr>
          <w:rFonts w:ascii="Times New Roman" w:hAnsi="Times New Roman" w:cs="Times New Roman"/>
          <w:sz w:val="24"/>
          <w:szCs w:val="24"/>
        </w:rPr>
        <w:t>The purpose of the scheme in Part XX, including the way in which this purpose relates to the specific exercise of the agency’s enforcement powers in section 316;</w:t>
      </w:r>
    </w:p>
    <w:p w:rsidR="001E3E7B" w:rsidRPr="00883A29" w:rsidRDefault="001E3E7B" w:rsidP="001E3E7B">
      <w:pPr>
        <w:spacing w:after="0" w:line="240" w:lineRule="auto"/>
        <w:ind w:left="360"/>
        <w:rPr>
          <w:rFonts w:ascii="Times New Roman" w:hAnsi="Times New Roman" w:cs="Times New Roman"/>
          <w:i/>
          <w:sz w:val="24"/>
          <w:szCs w:val="24"/>
        </w:rPr>
      </w:pPr>
    </w:p>
    <w:p w:rsidR="001E3E7B" w:rsidRPr="00883A29" w:rsidRDefault="001E3E7B" w:rsidP="00420F49">
      <w:pPr>
        <w:pStyle w:val="ListParagraph"/>
        <w:numPr>
          <w:ilvl w:val="0"/>
          <w:numId w:val="15"/>
        </w:numPr>
        <w:spacing w:after="0" w:line="240" w:lineRule="auto"/>
        <w:rPr>
          <w:rFonts w:ascii="Times New Roman" w:hAnsi="Times New Roman" w:cs="Times New Roman"/>
          <w:i/>
          <w:sz w:val="24"/>
          <w:szCs w:val="24"/>
        </w:rPr>
      </w:pPr>
      <w:r w:rsidRPr="00883A29">
        <w:rPr>
          <w:rFonts w:ascii="Times New Roman" w:hAnsi="Times New Roman" w:cs="Times New Roman"/>
          <w:sz w:val="24"/>
          <w:szCs w:val="24"/>
        </w:rPr>
        <w:t>The impact that a change in the use of enforcement powers would have on the organisation, in terms of resources and other areas of identified risk; and</w:t>
      </w:r>
    </w:p>
    <w:p w:rsidR="001E3E7B" w:rsidRPr="00883A29" w:rsidRDefault="001E3E7B" w:rsidP="001E3E7B">
      <w:pPr>
        <w:spacing w:after="0" w:line="240" w:lineRule="auto"/>
        <w:ind w:left="360"/>
        <w:rPr>
          <w:rFonts w:ascii="Times New Roman" w:hAnsi="Times New Roman" w:cs="Times New Roman"/>
          <w:i/>
          <w:sz w:val="24"/>
          <w:szCs w:val="24"/>
        </w:rPr>
      </w:pPr>
      <w:r w:rsidRPr="00883A29">
        <w:rPr>
          <w:rFonts w:ascii="Times New Roman" w:hAnsi="Times New Roman" w:cs="Times New Roman"/>
          <w:sz w:val="24"/>
          <w:szCs w:val="24"/>
        </w:rPr>
        <w:t xml:space="preserve"> </w:t>
      </w:r>
    </w:p>
    <w:p w:rsidR="00880A51" w:rsidRPr="004036F5" w:rsidRDefault="001E3E7B" w:rsidP="004036F5">
      <w:pPr>
        <w:pStyle w:val="ListParagraph"/>
        <w:numPr>
          <w:ilvl w:val="0"/>
          <w:numId w:val="15"/>
        </w:numPr>
        <w:spacing w:after="0" w:line="240" w:lineRule="auto"/>
        <w:rPr>
          <w:rFonts w:ascii="Times New Roman" w:hAnsi="Times New Roman" w:cs="Times New Roman"/>
          <w:i/>
          <w:sz w:val="24"/>
          <w:szCs w:val="24"/>
        </w:rPr>
      </w:pPr>
      <w:r w:rsidRPr="00883A29">
        <w:rPr>
          <w:rFonts w:ascii="Times New Roman" w:hAnsi="Times New Roman" w:cs="Times New Roman"/>
          <w:sz w:val="24"/>
          <w:szCs w:val="24"/>
        </w:rPr>
        <w:t>The maintenance of political neutrality.</w:t>
      </w:r>
    </w:p>
    <w:p w:rsidR="001E3E7B" w:rsidRPr="00DE6E1C" w:rsidRDefault="00880A51" w:rsidP="00DE6E1C">
      <w:pPr>
        <w:pStyle w:val="Heading2"/>
        <w:rPr>
          <w:rFonts w:ascii="Times New Roman" w:hAnsi="Times New Roman" w:cs="Times New Roman"/>
          <w:i/>
          <w:color w:val="auto"/>
          <w:sz w:val="22"/>
          <w:szCs w:val="22"/>
        </w:rPr>
      </w:pPr>
      <w:r w:rsidRPr="00DE6E1C">
        <w:rPr>
          <w:rFonts w:ascii="Times New Roman" w:hAnsi="Times New Roman" w:cs="Times New Roman"/>
          <w:color w:val="auto"/>
        </w:rPr>
        <w:t xml:space="preserve">What is the purpose of Part XX of the </w:t>
      </w:r>
      <w:r w:rsidRPr="00DE6E1C">
        <w:rPr>
          <w:rFonts w:ascii="Times New Roman" w:hAnsi="Times New Roman" w:cs="Times New Roman"/>
          <w:i/>
          <w:color w:val="auto"/>
        </w:rPr>
        <w:t>Commonwealth Electoral Act 1918</w:t>
      </w:r>
    </w:p>
    <w:p w:rsidR="001E3E7B" w:rsidRPr="00880A51" w:rsidRDefault="001E3E7B" w:rsidP="00880A51">
      <w:pPr>
        <w:pStyle w:val="Heading2"/>
        <w:numPr>
          <w:ilvl w:val="1"/>
          <w:numId w:val="27"/>
        </w:numPr>
        <w:ind w:left="567" w:hanging="567"/>
        <w:rPr>
          <w:rFonts w:ascii="Times New Roman" w:hAnsi="Times New Roman" w:cs="Times New Roman"/>
          <w:b w:val="0"/>
          <w:color w:val="auto"/>
        </w:rPr>
      </w:pPr>
      <w:r w:rsidRPr="00880A51">
        <w:rPr>
          <w:rFonts w:ascii="Times New Roman" w:hAnsi="Times New Roman" w:cs="Times New Roman"/>
          <w:b w:val="0"/>
          <w:color w:val="auto"/>
          <w:sz w:val="24"/>
          <w:szCs w:val="24"/>
        </w:rPr>
        <w:t>One of the key principles underpinning the effective administration of legislation is the development of policies and procedures and the conduct of administrative tasks in accordance with the purpose of the legislation in question.</w:t>
      </w:r>
    </w:p>
    <w:p w:rsidR="001E3E7B" w:rsidRPr="008E1356"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18" w:name="_Toc339540959"/>
      <w:r w:rsidRPr="008E1356">
        <w:rPr>
          <w:rFonts w:ascii="Times New Roman" w:hAnsi="Times New Roman" w:cs="Times New Roman"/>
          <w:b w:val="0"/>
          <w:color w:val="000000" w:themeColor="text1"/>
          <w:sz w:val="24"/>
          <w:szCs w:val="24"/>
        </w:rPr>
        <w:t>The disclosure and compliance provisions that were inserted into the Electoral Act in 1983 were introduced as a part of a range of broader electoral reforms in areas including Senate voting, redistribution and the timing between the calling of an election and the close of rolls.  The provisions have never been afforded a clear, explicit ‘purpose’ by the parliament in relation to their content and operation.</w:t>
      </w:r>
      <w:bookmarkEnd w:id="118"/>
      <w:r w:rsidRPr="008E1356">
        <w:rPr>
          <w:rFonts w:ascii="Times New Roman" w:hAnsi="Times New Roman" w:cs="Times New Roman"/>
          <w:b w:val="0"/>
          <w:color w:val="000000" w:themeColor="text1"/>
          <w:sz w:val="24"/>
          <w:szCs w:val="24"/>
        </w:rPr>
        <w:t xml:space="preserve"> </w:t>
      </w:r>
    </w:p>
    <w:p w:rsidR="001E3E7B" w:rsidRPr="008E1356"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19" w:name="_Toc339540960"/>
      <w:r w:rsidRPr="008E1356">
        <w:rPr>
          <w:rFonts w:ascii="Times New Roman" w:hAnsi="Times New Roman" w:cs="Times New Roman"/>
          <w:b w:val="0"/>
          <w:color w:val="000000" w:themeColor="text1"/>
          <w:sz w:val="24"/>
          <w:szCs w:val="24"/>
        </w:rPr>
        <w:t>The reason for the absence of a clear purpose is most likely, at least in part, because the disclosure and compliance scheme was introduced primarily as a component of new public funding arrangements.  It was stated in the second reading speech:</w:t>
      </w:r>
      <w:bookmarkEnd w:id="119"/>
      <w:r w:rsidRPr="008E1356">
        <w:rPr>
          <w:rFonts w:ascii="Times New Roman" w:hAnsi="Times New Roman" w:cs="Times New Roman"/>
          <w:b w:val="0"/>
          <w:color w:val="000000" w:themeColor="text1"/>
          <w:sz w:val="24"/>
          <w:szCs w:val="24"/>
        </w:rPr>
        <w:t xml:space="preserve"> </w:t>
      </w:r>
    </w:p>
    <w:p w:rsidR="001E3E7B" w:rsidRPr="008E1356" w:rsidRDefault="001E3E7B" w:rsidP="00E75515">
      <w:pPr>
        <w:pStyle w:val="NormalWeb"/>
        <w:ind w:left="1440" w:firstLine="0"/>
        <w:rPr>
          <w:i/>
          <w:color w:val="000000" w:themeColor="text1"/>
        </w:rPr>
      </w:pPr>
      <w:r w:rsidRPr="008E1356">
        <w:rPr>
          <w:i/>
          <w:color w:val="000000" w:themeColor="text1"/>
        </w:rPr>
        <w:t>An essential corollary of public funding is disclosure-they are two sides of the same coin. Unless there is disclosure the whole point of public funding is destroyed…</w:t>
      </w:r>
      <w:r w:rsidRPr="008E1356">
        <w:rPr>
          <w:rStyle w:val="FootnoteReference"/>
          <w:i/>
          <w:color w:val="000000" w:themeColor="text1"/>
        </w:rPr>
        <w:footnoteReference w:id="41"/>
      </w:r>
      <w:r w:rsidRPr="008E1356">
        <w:rPr>
          <w:i/>
          <w:color w:val="000000" w:themeColor="text1"/>
        </w:rPr>
        <w:t xml:space="preserve"> </w:t>
      </w:r>
    </w:p>
    <w:p w:rsidR="00EB7626" w:rsidRPr="00AB152D" w:rsidRDefault="001E3E7B" w:rsidP="00EB7626">
      <w:pPr>
        <w:pStyle w:val="Heading2"/>
        <w:numPr>
          <w:ilvl w:val="1"/>
          <w:numId w:val="27"/>
        </w:numPr>
        <w:ind w:left="567" w:hanging="567"/>
        <w:rPr>
          <w:rFonts w:ascii="Times New Roman" w:hAnsi="Times New Roman" w:cs="Times New Roman"/>
          <w:b w:val="0"/>
          <w:color w:val="000000" w:themeColor="text1"/>
          <w:sz w:val="24"/>
          <w:szCs w:val="24"/>
        </w:rPr>
      </w:pPr>
      <w:bookmarkStart w:id="120" w:name="_Toc339540961"/>
      <w:r w:rsidRPr="008E1356">
        <w:rPr>
          <w:rFonts w:ascii="Times New Roman" w:hAnsi="Times New Roman" w:cs="Times New Roman"/>
          <w:b w:val="0"/>
          <w:color w:val="000000" w:themeColor="text1"/>
          <w:sz w:val="24"/>
          <w:szCs w:val="24"/>
        </w:rPr>
        <w:lastRenderedPageBreak/>
        <w:t>The introduction of an accountability mechanism in the form of a disclosure scheme simply as the ‘other side of the coin’ to</w:t>
      </w:r>
      <w:r w:rsidR="00DC36D9">
        <w:rPr>
          <w:rFonts w:ascii="Times New Roman" w:hAnsi="Times New Roman" w:cs="Times New Roman"/>
          <w:b w:val="0"/>
          <w:color w:val="000000" w:themeColor="text1"/>
          <w:sz w:val="24"/>
          <w:szCs w:val="24"/>
        </w:rPr>
        <w:t xml:space="preserve"> public funding arrangements contrasts</w:t>
      </w:r>
      <w:r w:rsidRPr="008E1356">
        <w:rPr>
          <w:rFonts w:ascii="Times New Roman" w:hAnsi="Times New Roman" w:cs="Times New Roman"/>
          <w:b w:val="0"/>
          <w:color w:val="000000" w:themeColor="text1"/>
          <w:sz w:val="24"/>
          <w:szCs w:val="24"/>
        </w:rPr>
        <w:t xml:space="preserve"> the introduction of many other enforcement or integrity mechanisms, which are introduced solely in response to an identified problem.</w:t>
      </w:r>
      <w:bookmarkEnd w:id="120"/>
    </w:p>
    <w:p w:rsidR="00EB7626" w:rsidRDefault="001E3E7B" w:rsidP="00EB7626">
      <w:pPr>
        <w:pStyle w:val="Heading2"/>
        <w:numPr>
          <w:ilvl w:val="1"/>
          <w:numId w:val="27"/>
        </w:numPr>
        <w:ind w:left="567" w:hanging="567"/>
        <w:rPr>
          <w:rFonts w:ascii="Times New Roman" w:hAnsi="Times New Roman" w:cs="Times New Roman"/>
          <w:b w:val="0"/>
          <w:color w:val="000000" w:themeColor="text1"/>
          <w:sz w:val="24"/>
          <w:szCs w:val="24"/>
        </w:rPr>
      </w:pPr>
      <w:bookmarkStart w:id="121" w:name="_Toc339540962"/>
      <w:r w:rsidRPr="008E1356">
        <w:rPr>
          <w:rFonts w:ascii="Times New Roman" w:hAnsi="Times New Roman" w:cs="Times New Roman"/>
          <w:b w:val="0"/>
          <w:color w:val="000000" w:themeColor="text1"/>
          <w:sz w:val="24"/>
          <w:szCs w:val="24"/>
        </w:rPr>
        <w:t>Additional guidance on the purpose of the scheme relating to this need for accountability that results from political parties receiving public funds can be afforded from the 1983 Joint Select Committee on Electoral Reform (JSCER) Report, where it was stated:</w:t>
      </w:r>
      <w:bookmarkEnd w:id="121"/>
    </w:p>
    <w:p w:rsidR="000E54F9" w:rsidRPr="000E54F9" w:rsidRDefault="000E54F9" w:rsidP="000E54F9">
      <w:pPr>
        <w:spacing w:after="0"/>
      </w:pPr>
    </w:p>
    <w:p w:rsidR="001E3E7B" w:rsidRPr="008E1356" w:rsidRDefault="001E3E7B" w:rsidP="00E75515">
      <w:pPr>
        <w:ind w:left="1440"/>
        <w:rPr>
          <w:rFonts w:ascii="Times New Roman" w:hAnsi="Times New Roman" w:cs="Times New Roman"/>
          <w:color w:val="000000" w:themeColor="text1"/>
          <w:sz w:val="24"/>
          <w:szCs w:val="24"/>
        </w:rPr>
      </w:pPr>
      <w:r w:rsidRPr="008E1356">
        <w:rPr>
          <w:rFonts w:ascii="Times New Roman" w:hAnsi="Times New Roman" w:cs="Times New Roman"/>
          <w:i/>
          <w:color w:val="000000" w:themeColor="text1"/>
          <w:sz w:val="24"/>
          <w:szCs w:val="24"/>
        </w:rPr>
        <w:t>The majority of the Committee accepts the view that the receipt of significant donations provides the potential to influence a candidate or party and that to preserve the integrity of the system the public need to be aware of the major sources of party and candidate funds of any possible influence.”</w:t>
      </w:r>
      <w:r w:rsidRPr="008E1356">
        <w:rPr>
          <w:rStyle w:val="FootnoteReference"/>
          <w:rFonts w:ascii="Times New Roman" w:hAnsi="Times New Roman" w:cs="Times New Roman"/>
          <w:i/>
          <w:color w:val="000000" w:themeColor="text1"/>
          <w:sz w:val="24"/>
          <w:szCs w:val="24"/>
        </w:rPr>
        <w:footnoteReference w:id="42"/>
      </w:r>
      <w:r w:rsidRPr="008E1356">
        <w:rPr>
          <w:rFonts w:ascii="Times New Roman" w:hAnsi="Times New Roman" w:cs="Times New Roman"/>
          <w:i/>
          <w:color w:val="000000" w:themeColor="text1"/>
          <w:sz w:val="24"/>
          <w:szCs w:val="24"/>
        </w:rPr>
        <w:t xml:space="preserve"> </w:t>
      </w:r>
    </w:p>
    <w:p w:rsidR="00E75515" w:rsidRDefault="001E3E7B" w:rsidP="00E75515">
      <w:pPr>
        <w:pStyle w:val="Heading2"/>
        <w:numPr>
          <w:ilvl w:val="1"/>
          <w:numId w:val="27"/>
        </w:numPr>
        <w:ind w:left="567" w:hanging="567"/>
        <w:rPr>
          <w:rFonts w:ascii="Times New Roman" w:hAnsi="Times New Roman" w:cs="Times New Roman"/>
          <w:b w:val="0"/>
          <w:color w:val="000000" w:themeColor="text1"/>
          <w:sz w:val="24"/>
          <w:szCs w:val="24"/>
        </w:rPr>
      </w:pPr>
      <w:bookmarkStart w:id="122" w:name="_Toc339540963"/>
      <w:r w:rsidRPr="008E1356">
        <w:rPr>
          <w:rFonts w:ascii="Times New Roman" w:hAnsi="Times New Roman" w:cs="Times New Roman"/>
          <w:b w:val="0"/>
          <w:color w:val="000000" w:themeColor="text1"/>
          <w:sz w:val="24"/>
          <w:szCs w:val="24"/>
        </w:rPr>
        <w:t>The FAD section has developed its own purpose in relation to Part XX by applying existing sources relating to the introduction and continued amendment of Part XX of the legislation:</w:t>
      </w:r>
      <w:bookmarkEnd w:id="122"/>
    </w:p>
    <w:p w:rsidR="00171967" w:rsidRPr="00171967" w:rsidRDefault="00171967" w:rsidP="000E54F9">
      <w:pPr>
        <w:spacing w:after="0"/>
      </w:pPr>
    </w:p>
    <w:p w:rsidR="005771C3" w:rsidRPr="005771C3" w:rsidRDefault="001E3E7B" w:rsidP="005771C3">
      <w:pPr>
        <w:spacing w:after="0"/>
        <w:ind w:left="1440"/>
        <w:rPr>
          <w:rFonts w:ascii="Times New Roman" w:hAnsi="Times New Roman" w:cs="Times New Roman"/>
          <w:i/>
          <w:sz w:val="24"/>
          <w:szCs w:val="24"/>
        </w:rPr>
      </w:pPr>
      <w:r w:rsidRPr="00816793">
        <w:rPr>
          <w:rFonts w:ascii="Times New Roman" w:hAnsi="Times New Roman" w:cs="Times New Roman"/>
          <w:bCs/>
          <w:sz w:val="24"/>
          <w:szCs w:val="24"/>
        </w:rPr>
        <w:t xml:space="preserve">[the Commonwealth disclosure and compliance scheme is] </w:t>
      </w:r>
      <w:r w:rsidRPr="00816793">
        <w:rPr>
          <w:rFonts w:ascii="Times New Roman" w:hAnsi="Times New Roman" w:cs="Times New Roman"/>
          <w:bCs/>
          <w:i/>
          <w:sz w:val="24"/>
          <w:szCs w:val="24"/>
        </w:rPr>
        <w:t>helping guard against corruption by requiring those involved in the political process to publicly disclose relevant financial dealings</w:t>
      </w:r>
      <w:r w:rsidRPr="00816793">
        <w:rPr>
          <w:rFonts w:ascii="Times New Roman" w:hAnsi="Times New Roman" w:cs="Times New Roman"/>
          <w:i/>
          <w:sz w:val="24"/>
          <w:szCs w:val="24"/>
        </w:rPr>
        <w:t>.</w:t>
      </w:r>
    </w:p>
    <w:p w:rsidR="00AB152D" w:rsidRPr="000E54F9"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23" w:name="_Toc339540964"/>
      <w:r w:rsidRPr="008E1356">
        <w:rPr>
          <w:rFonts w:ascii="Times New Roman" w:hAnsi="Times New Roman" w:cs="Times New Roman"/>
          <w:b w:val="0"/>
          <w:color w:val="000000" w:themeColor="text1"/>
          <w:sz w:val="24"/>
          <w:szCs w:val="24"/>
        </w:rPr>
        <w:t>It appears then that the disclosure and compliance scheme essentially involves attempting to prevent corruption by releasing accurate and complete information about the finances, including the sources of finances, of key political actors in the process.  That is, the scheme operates on the despatch of information into the public domain, and it achieves its purpose just by making accurate and complete information available to the community. Where the information reveals some form of potential ‘wrongdoing’ or influence (undue or otherwise), the agency’s actions in addressing the actual or potential ‘wrongdoing’ will naturally be subject to intense scrutiny.  This highlights the importance of transparent policies and procedures to govern the application of enforcement powers.</w:t>
      </w:r>
      <w:bookmarkEnd w:id="123"/>
    </w:p>
    <w:p w:rsidR="00AB152D"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24" w:name="_Toc339540965"/>
      <w:r w:rsidRPr="008E1356">
        <w:rPr>
          <w:rFonts w:ascii="Times New Roman" w:hAnsi="Times New Roman" w:cs="Times New Roman"/>
          <w:b w:val="0"/>
          <w:color w:val="000000" w:themeColor="text1"/>
          <w:sz w:val="24"/>
          <w:szCs w:val="24"/>
        </w:rPr>
        <w:t>The disclosure and compliance role that has been conferred upon the Commission is somewhat different to the other responsibilities that the Commission administers.  Disclosure and compliance naturally play a role in the integrity of the electoral system, which the Commission is responsible for maintaining.  However, where other important areas of the Commission’s business, such as elections and enrolment, are concerned, the integrity lies predominantly in the very application of established processes and procedures developed to facilitate legislative purpose and requirements.</w:t>
      </w:r>
      <w:bookmarkEnd w:id="124"/>
      <w:r w:rsidRPr="008E1356">
        <w:rPr>
          <w:rFonts w:ascii="Times New Roman" w:hAnsi="Times New Roman" w:cs="Times New Roman"/>
          <w:b w:val="0"/>
          <w:color w:val="000000" w:themeColor="text1"/>
          <w:sz w:val="24"/>
          <w:szCs w:val="24"/>
        </w:rPr>
        <w:t xml:space="preserve">  </w:t>
      </w:r>
    </w:p>
    <w:p w:rsidR="00AB152D" w:rsidRPr="00AB152D" w:rsidRDefault="00AB152D" w:rsidP="00AB152D"/>
    <w:p w:rsidR="00AB152D" w:rsidRPr="00AB152D" w:rsidRDefault="004234CA" w:rsidP="00AB152D">
      <w:pPr>
        <w:pStyle w:val="Heading2"/>
        <w:numPr>
          <w:ilvl w:val="1"/>
          <w:numId w:val="27"/>
        </w:numPr>
        <w:ind w:left="567" w:hanging="567"/>
        <w:rPr>
          <w:rFonts w:ascii="Times New Roman" w:hAnsi="Times New Roman" w:cs="Times New Roman"/>
          <w:b w:val="0"/>
          <w:color w:val="000000" w:themeColor="text1"/>
          <w:sz w:val="24"/>
          <w:szCs w:val="24"/>
        </w:rPr>
      </w:pPr>
      <w:bookmarkStart w:id="125" w:name="_Toc339540966"/>
      <w:r w:rsidRPr="008E1356">
        <w:rPr>
          <w:rFonts w:ascii="Times New Roman" w:hAnsi="Times New Roman" w:cs="Times New Roman"/>
          <w:b w:val="0"/>
          <w:color w:val="000000" w:themeColor="text1"/>
          <w:sz w:val="24"/>
          <w:szCs w:val="24"/>
        </w:rPr>
        <w:lastRenderedPageBreak/>
        <w:t xml:space="preserve">Where disclosure and compliance are concerned, while processes and procedures are important, the </w:t>
      </w:r>
      <w:r w:rsidRPr="008E1356">
        <w:rPr>
          <w:rFonts w:ascii="Times New Roman" w:hAnsi="Times New Roman" w:cs="Times New Roman"/>
          <w:b w:val="0"/>
          <w:i/>
          <w:color w:val="000000" w:themeColor="text1"/>
          <w:sz w:val="24"/>
          <w:szCs w:val="24"/>
        </w:rPr>
        <w:t xml:space="preserve">manner </w:t>
      </w:r>
      <w:r w:rsidR="0089354D">
        <w:rPr>
          <w:rFonts w:ascii="Times New Roman" w:hAnsi="Times New Roman" w:cs="Times New Roman"/>
          <w:b w:val="0"/>
          <w:color w:val="000000" w:themeColor="text1"/>
          <w:sz w:val="24"/>
          <w:szCs w:val="24"/>
        </w:rPr>
        <w:t>and</w:t>
      </w:r>
      <w:r w:rsidR="0089354D" w:rsidRPr="0089354D">
        <w:rPr>
          <w:rFonts w:ascii="Times New Roman" w:hAnsi="Times New Roman" w:cs="Times New Roman"/>
          <w:b w:val="0"/>
          <w:i/>
          <w:color w:val="000000" w:themeColor="text1"/>
          <w:sz w:val="24"/>
          <w:szCs w:val="24"/>
        </w:rPr>
        <w:t xml:space="preserve"> </w:t>
      </w:r>
      <w:r w:rsidRPr="0089354D">
        <w:rPr>
          <w:rFonts w:ascii="Times New Roman" w:hAnsi="Times New Roman" w:cs="Times New Roman"/>
          <w:b w:val="0"/>
          <w:i/>
          <w:color w:val="000000" w:themeColor="text1"/>
          <w:sz w:val="24"/>
          <w:szCs w:val="24"/>
        </w:rPr>
        <w:t>target</w:t>
      </w:r>
      <w:r w:rsidRPr="008E1356">
        <w:rPr>
          <w:rFonts w:ascii="Times New Roman" w:hAnsi="Times New Roman" w:cs="Times New Roman"/>
          <w:b w:val="0"/>
          <w:color w:val="000000" w:themeColor="text1"/>
          <w:sz w:val="24"/>
          <w:szCs w:val="24"/>
        </w:rPr>
        <w:t xml:space="preserve"> of their application involves an exercise of discretion on the part of those responsible for the function and a consideration of external, sometimes political, factors not present in other areas of the Commission’s core business.  This needs to be accounted for when deciding the way in which the Commission can best perform this function.</w:t>
      </w:r>
      <w:bookmarkEnd w:id="125"/>
    </w:p>
    <w:p w:rsidR="004234CA" w:rsidRDefault="004234CA" w:rsidP="00171967">
      <w:pPr>
        <w:pStyle w:val="Heading2"/>
        <w:numPr>
          <w:ilvl w:val="1"/>
          <w:numId w:val="27"/>
        </w:numPr>
        <w:ind w:left="567" w:hanging="567"/>
        <w:rPr>
          <w:rFonts w:ascii="Times New Roman" w:hAnsi="Times New Roman" w:cs="Times New Roman"/>
          <w:b w:val="0"/>
          <w:color w:val="000000" w:themeColor="text1"/>
          <w:sz w:val="24"/>
          <w:szCs w:val="24"/>
        </w:rPr>
      </w:pPr>
      <w:bookmarkStart w:id="126" w:name="_Toc339540967"/>
      <w:r w:rsidRPr="008E1356">
        <w:rPr>
          <w:rFonts w:ascii="Times New Roman" w:hAnsi="Times New Roman" w:cs="Times New Roman"/>
          <w:b w:val="0"/>
          <w:color w:val="000000" w:themeColor="text1"/>
          <w:sz w:val="24"/>
          <w:szCs w:val="24"/>
        </w:rPr>
        <w:t>Given the potential for scrutiny of the agency’s actions where po</w:t>
      </w:r>
      <w:r w:rsidR="00810443">
        <w:rPr>
          <w:rFonts w:ascii="Times New Roman" w:hAnsi="Times New Roman" w:cs="Times New Roman"/>
          <w:b w:val="0"/>
          <w:color w:val="000000" w:themeColor="text1"/>
          <w:sz w:val="24"/>
          <w:szCs w:val="24"/>
        </w:rPr>
        <w:t>ssible</w:t>
      </w:r>
      <w:r w:rsidRPr="008E1356">
        <w:rPr>
          <w:rFonts w:ascii="Times New Roman" w:hAnsi="Times New Roman" w:cs="Times New Roman"/>
          <w:b w:val="0"/>
          <w:color w:val="000000" w:themeColor="text1"/>
          <w:sz w:val="24"/>
          <w:szCs w:val="24"/>
        </w:rPr>
        <w:t xml:space="preserve"> wrongdoing or undue influence is identified</w:t>
      </w:r>
      <w:r w:rsidR="00810443">
        <w:rPr>
          <w:rFonts w:ascii="Times New Roman" w:hAnsi="Times New Roman" w:cs="Times New Roman"/>
          <w:b w:val="0"/>
          <w:color w:val="000000" w:themeColor="text1"/>
          <w:sz w:val="24"/>
          <w:szCs w:val="24"/>
        </w:rPr>
        <w:t>, as well as</w:t>
      </w:r>
      <w:r w:rsidRPr="008E1356">
        <w:rPr>
          <w:rFonts w:ascii="Times New Roman" w:hAnsi="Times New Roman" w:cs="Times New Roman"/>
          <w:b w:val="0"/>
          <w:color w:val="000000" w:themeColor="text1"/>
          <w:sz w:val="24"/>
          <w:szCs w:val="24"/>
        </w:rPr>
        <w:t xml:space="preserve"> the amount of discretion in the application of disclosure and compliance provisions, it is increasingly important that the enforcement powers that have been conferred upon the Commission in relation to Part XX are exercised in a manner that takes into account the range of competing considerations in this area.</w:t>
      </w:r>
      <w:bookmarkEnd w:id="126"/>
    </w:p>
    <w:p w:rsidR="00880A51" w:rsidRPr="00DE6E1C" w:rsidRDefault="00880A51" w:rsidP="00DE6E1C">
      <w:pPr>
        <w:pStyle w:val="Heading2"/>
        <w:rPr>
          <w:rFonts w:ascii="Times New Roman" w:hAnsi="Times New Roman" w:cs="Times New Roman"/>
          <w:color w:val="auto"/>
        </w:rPr>
      </w:pPr>
      <w:r w:rsidRPr="00DE6E1C">
        <w:rPr>
          <w:rFonts w:ascii="Times New Roman" w:hAnsi="Times New Roman" w:cs="Times New Roman"/>
          <w:color w:val="auto"/>
        </w:rPr>
        <w:t>A targeted application of section 316(2A)</w:t>
      </w:r>
    </w:p>
    <w:p w:rsidR="001E3E7B" w:rsidRPr="00880A51" w:rsidRDefault="001E3E7B" w:rsidP="00880A51">
      <w:pPr>
        <w:pStyle w:val="Heading2"/>
        <w:numPr>
          <w:ilvl w:val="1"/>
          <w:numId w:val="27"/>
        </w:numPr>
        <w:ind w:left="567" w:hanging="567"/>
        <w:rPr>
          <w:rFonts w:ascii="Times New Roman" w:hAnsi="Times New Roman" w:cs="Times New Roman"/>
          <w:b w:val="0"/>
          <w:color w:val="auto"/>
        </w:rPr>
      </w:pPr>
      <w:r w:rsidRPr="00880A51">
        <w:rPr>
          <w:rFonts w:ascii="Times New Roman" w:hAnsi="Times New Roman" w:cs="Times New Roman"/>
          <w:b w:val="0"/>
          <w:color w:val="auto"/>
          <w:sz w:val="24"/>
          <w:szCs w:val="24"/>
        </w:rPr>
        <w:t xml:space="preserve">In 1985 during the Joint Select Committee on Electoral Reform’s (JSCER) inquiry into the conduct of the 1984 federal election, the </w:t>
      </w:r>
      <w:r w:rsidR="00495542" w:rsidRPr="00880A51">
        <w:rPr>
          <w:rFonts w:ascii="Times New Roman" w:hAnsi="Times New Roman" w:cs="Times New Roman"/>
          <w:b w:val="0"/>
          <w:color w:val="auto"/>
          <w:sz w:val="24"/>
          <w:szCs w:val="24"/>
        </w:rPr>
        <w:t>Commission</w:t>
      </w:r>
      <w:r w:rsidRPr="00880A51">
        <w:rPr>
          <w:rFonts w:ascii="Times New Roman" w:hAnsi="Times New Roman" w:cs="Times New Roman"/>
          <w:b w:val="0"/>
          <w:color w:val="auto"/>
          <w:sz w:val="24"/>
          <w:szCs w:val="24"/>
        </w:rPr>
        <w:t xml:space="preserve"> informed the committee that its power to undertake ‘random compliance audits’ of political parties under section 316 had been rejected by two political parties.</w:t>
      </w:r>
    </w:p>
    <w:p w:rsidR="001E3E7B" w:rsidRPr="008E1356"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27" w:name="_Toc339540969"/>
      <w:r w:rsidRPr="008E1356">
        <w:rPr>
          <w:rFonts w:ascii="Times New Roman" w:hAnsi="Times New Roman" w:cs="Times New Roman"/>
          <w:b w:val="0"/>
          <w:color w:val="000000" w:themeColor="text1"/>
          <w:sz w:val="24"/>
          <w:szCs w:val="24"/>
        </w:rPr>
        <w:t xml:space="preserve">Following this,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sought legal advice from the Attorney-General’s Department and was advised that section 316 did not enable ‘an authorised officer to require the production of party records relating to gifts that are not required to be set out in a Part XX return’</w:t>
      </w:r>
      <w:r w:rsidR="00810443">
        <w:rPr>
          <w:rFonts w:ascii="Times New Roman" w:hAnsi="Times New Roman" w:cs="Times New Roman"/>
          <w:b w:val="0"/>
          <w:color w:val="000000" w:themeColor="text1"/>
          <w:sz w:val="24"/>
          <w:szCs w:val="24"/>
        </w:rPr>
        <w:t>.</w:t>
      </w:r>
      <w:r w:rsidRPr="008E1356">
        <w:rPr>
          <w:rStyle w:val="FootnoteReference"/>
          <w:rFonts w:ascii="Times New Roman" w:hAnsi="Times New Roman" w:cs="Times New Roman"/>
          <w:b w:val="0"/>
          <w:color w:val="000000" w:themeColor="text1"/>
          <w:sz w:val="24"/>
          <w:szCs w:val="24"/>
        </w:rPr>
        <w:footnoteReference w:id="43"/>
      </w:r>
      <w:bookmarkEnd w:id="127"/>
    </w:p>
    <w:p w:rsidR="001E3E7B"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28" w:name="_Toc339540970"/>
      <w:r w:rsidRPr="008E1356">
        <w:rPr>
          <w:rFonts w:ascii="Times New Roman" w:hAnsi="Times New Roman" w:cs="Times New Roman"/>
          <w:b w:val="0"/>
          <w:color w:val="000000" w:themeColor="text1"/>
          <w:sz w:val="24"/>
          <w:szCs w:val="24"/>
        </w:rPr>
        <w:t xml:space="preserve">In its submission to JSCER in its inquiry into the 1984 election,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argued that it believed that it had always been the parliamentary intention that the powers conferred upon it by section 316 would allow it to conduct random compliance audits.  The JSCEM report regarding the inquiry into the conduct of the 1987 federal election and 1988 referendums stated:</w:t>
      </w:r>
      <w:bookmarkEnd w:id="128"/>
    </w:p>
    <w:p w:rsidR="00E75515" w:rsidRPr="00E75515" w:rsidRDefault="00E75515" w:rsidP="00E75515">
      <w:pPr>
        <w:spacing w:after="0"/>
      </w:pPr>
    </w:p>
    <w:p w:rsidR="001E3E7B" w:rsidRPr="008E1356" w:rsidRDefault="001E3E7B" w:rsidP="00E75515">
      <w:pPr>
        <w:ind w:left="1440"/>
        <w:rPr>
          <w:rFonts w:ascii="Times New Roman" w:hAnsi="Times New Roman" w:cs="Times New Roman"/>
          <w:i/>
          <w:color w:val="000000" w:themeColor="text1"/>
          <w:sz w:val="24"/>
          <w:szCs w:val="24"/>
        </w:rPr>
      </w:pPr>
      <w:r w:rsidRPr="008E1356">
        <w:rPr>
          <w:rFonts w:ascii="Times New Roman" w:hAnsi="Times New Roman" w:cs="Times New Roman"/>
          <w:i/>
          <w:color w:val="000000" w:themeColor="text1"/>
          <w:sz w:val="24"/>
          <w:szCs w:val="24"/>
        </w:rPr>
        <w:t xml:space="preserve">As </w:t>
      </w:r>
      <w:r w:rsidRPr="009D7212">
        <w:rPr>
          <w:rFonts w:ascii="Times New Roman" w:hAnsi="Times New Roman" w:cs="Times New Roman"/>
          <w:color w:val="000000" w:themeColor="text1"/>
          <w:sz w:val="24"/>
          <w:szCs w:val="24"/>
        </w:rPr>
        <w:t xml:space="preserve">[the </w:t>
      </w:r>
      <w:r w:rsidR="00495542" w:rsidRPr="009D7212">
        <w:rPr>
          <w:rFonts w:ascii="Times New Roman" w:hAnsi="Times New Roman" w:cs="Times New Roman"/>
          <w:color w:val="000000" w:themeColor="text1"/>
          <w:sz w:val="24"/>
          <w:szCs w:val="24"/>
        </w:rPr>
        <w:t>Commission</w:t>
      </w:r>
      <w:r w:rsidRPr="009D7212">
        <w:rPr>
          <w:rFonts w:ascii="Times New Roman" w:hAnsi="Times New Roman" w:cs="Times New Roman"/>
          <w:color w:val="000000" w:themeColor="text1"/>
          <w:sz w:val="24"/>
          <w:szCs w:val="24"/>
        </w:rPr>
        <w:t>]</w:t>
      </w:r>
      <w:r w:rsidRPr="008E1356">
        <w:rPr>
          <w:rFonts w:ascii="Times New Roman" w:hAnsi="Times New Roman" w:cs="Times New Roman"/>
          <w:i/>
          <w:color w:val="000000" w:themeColor="text1"/>
          <w:sz w:val="24"/>
          <w:szCs w:val="24"/>
        </w:rPr>
        <w:t xml:space="preserve"> was unable to conduct such audits (except in cases where a breach of the Electoral Act was suspected) the </w:t>
      </w:r>
      <w:r w:rsidR="005E3CE8" w:rsidRPr="008E1356">
        <w:rPr>
          <w:rFonts w:ascii="Times New Roman" w:hAnsi="Times New Roman" w:cs="Times New Roman"/>
          <w:color w:val="000000" w:themeColor="text1"/>
          <w:sz w:val="24"/>
          <w:szCs w:val="24"/>
        </w:rPr>
        <w:t>[Australian Electoral Commission]</w:t>
      </w:r>
      <w:r w:rsidRPr="008E1356">
        <w:rPr>
          <w:rFonts w:ascii="Times New Roman" w:hAnsi="Times New Roman" w:cs="Times New Roman"/>
          <w:i/>
          <w:color w:val="000000" w:themeColor="text1"/>
          <w:sz w:val="24"/>
          <w:szCs w:val="24"/>
        </w:rPr>
        <w:t xml:space="preserve"> considered its ability to administer and enforce the disclosure provisions of the Electoral Act was severely limited.</w:t>
      </w:r>
      <w:r w:rsidRPr="008E1356">
        <w:rPr>
          <w:rStyle w:val="FootnoteReference"/>
          <w:rFonts w:ascii="Times New Roman" w:hAnsi="Times New Roman" w:cs="Times New Roman"/>
          <w:i/>
          <w:color w:val="000000" w:themeColor="text1"/>
          <w:sz w:val="24"/>
          <w:szCs w:val="24"/>
        </w:rPr>
        <w:footnoteReference w:id="44"/>
      </w:r>
      <w:r w:rsidRPr="008E1356">
        <w:rPr>
          <w:rFonts w:ascii="Times New Roman" w:hAnsi="Times New Roman" w:cs="Times New Roman"/>
          <w:i/>
          <w:color w:val="000000" w:themeColor="text1"/>
          <w:sz w:val="24"/>
          <w:szCs w:val="24"/>
        </w:rPr>
        <w:t xml:space="preserve"> </w:t>
      </w:r>
    </w:p>
    <w:p w:rsidR="001E3E7B"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29" w:name="_Toc339540971"/>
      <w:r w:rsidRPr="008E1356">
        <w:rPr>
          <w:rFonts w:ascii="Times New Roman" w:hAnsi="Times New Roman" w:cs="Times New Roman"/>
          <w:b w:val="0"/>
          <w:color w:val="000000" w:themeColor="text1"/>
          <w:sz w:val="24"/>
          <w:szCs w:val="24"/>
        </w:rPr>
        <w:t xml:space="preserve">However, JSCER in 1984 concluded that the existing powers were sufficient for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to perform its role and that there was no need for spot audits.  JSCER also stated in its report that it was able to use its own investigative functions to help enforce the disclosure provisions in the Electoral Act.</w:t>
      </w:r>
      <w:bookmarkEnd w:id="129"/>
    </w:p>
    <w:p w:rsidR="000C1907" w:rsidRPr="000C1907" w:rsidRDefault="000C1907" w:rsidP="000C1907"/>
    <w:p w:rsidR="000C1907" w:rsidRPr="000C1907" w:rsidRDefault="001E3E7B" w:rsidP="000C1907">
      <w:pPr>
        <w:pStyle w:val="Heading2"/>
        <w:numPr>
          <w:ilvl w:val="1"/>
          <w:numId w:val="27"/>
        </w:numPr>
        <w:ind w:left="567" w:hanging="567"/>
        <w:rPr>
          <w:rFonts w:ascii="Times New Roman" w:hAnsi="Times New Roman" w:cs="Times New Roman"/>
          <w:b w:val="0"/>
          <w:color w:val="000000" w:themeColor="text1"/>
          <w:sz w:val="24"/>
          <w:szCs w:val="24"/>
        </w:rPr>
      </w:pPr>
      <w:bookmarkStart w:id="130" w:name="_Toc339540972"/>
      <w:r w:rsidRPr="008E1356">
        <w:rPr>
          <w:rFonts w:ascii="Times New Roman" w:hAnsi="Times New Roman" w:cs="Times New Roman"/>
          <w:b w:val="0"/>
          <w:color w:val="000000" w:themeColor="text1"/>
          <w:sz w:val="24"/>
          <w:szCs w:val="24"/>
        </w:rPr>
        <w:lastRenderedPageBreak/>
        <w:t xml:space="preserve">In 1989 JSCEM recommended, as a response to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’s indication that it could not confidently say that political parties were complying with Part XX of the Electoral Act in light of the existing powers that the</w:t>
      </w:r>
      <w:r w:rsidR="00495542" w:rsidRPr="008E1356">
        <w:rPr>
          <w:rFonts w:ascii="Times New Roman" w:hAnsi="Times New Roman" w:cs="Times New Roman"/>
          <w:b w:val="0"/>
          <w:color w:val="000000" w:themeColor="text1"/>
          <w:sz w:val="24"/>
          <w:szCs w:val="24"/>
        </w:rPr>
        <w:t xml:space="preserve"> Commission</w:t>
      </w:r>
      <w:r w:rsidRPr="008E1356">
        <w:rPr>
          <w:rFonts w:ascii="Times New Roman" w:hAnsi="Times New Roman" w:cs="Times New Roman"/>
          <w:b w:val="0"/>
          <w:color w:val="000000" w:themeColor="text1"/>
          <w:sz w:val="24"/>
          <w:szCs w:val="24"/>
        </w:rPr>
        <w:t xml:space="preserve"> be given the power to conduct spot audits of ‘electoral activities’ of registered political parties.  It also recommended that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publish a record of all spot audits undertaken but with detailed information on audits provided only where there has been a breach of the </w:t>
      </w:r>
      <w:r w:rsidR="00495542" w:rsidRPr="008E1356">
        <w:rPr>
          <w:rFonts w:ascii="Times New Roman" w:hAnsi="Times New Roman" w:cs="Times New Roman"/>
          <w:b w:val="0"/>
          <w:color w:val="000000" w:themeColor="text1"/>
          <w:sz w:val="24"/>
          <w:szCs w:val="24"/>
        </w:rPr>
        <w:t xml:space="preserve">Electoral </w:t>
      </w:r>
      <w:r w:rsidRPr="008E1356">
        <w:rPr>
          <w:rFonts w:ascii="Times New Roman" w:hAnsi="Times New Roman" w:cs="Times New Roman"/>
          <w:b w:val="0"/>
          <w:color w:val="000000" w:themeColor="text1"/>
          <w:sz w:val="24"/>
          <w:szCs w:val="24"/>
        </w:rPr>
        <w:t>Act.  This indicates that the initial intent of the insertion of the provision in to the legislation was for a targeted use of the power.</w:t>
      </w:r>
      <w:bookmarkEnd w:id="130"/>
    </w:p>
    <w:p w:rsidR="001E3E7B" w:rsidRPr="008E1356"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31" w:name="_Toc339540973"/>
      <w:r w:rsidRPr="008E1356">
        <w:rPr>
          <w:rFonts w:ascii="Times New Roman" w:hAnsi="Times New Roman" w:cs="Times New Roman"/>
          <w:b w:val="0"/>
          <w:color w:val="000000" w:themeColor="text1"/>
          <w:sz w:val="24"/>
          <w:szCs w:val="24"/>
        </w:rPr>
        <w:t>The second reading speech when the provision containing the general compliance review power was introduced into the Electoral Act potentially supports a more targeted approach to the use of section 316(2A):</w:t>
      </w:r>
      <w:bookmarkEnd w:id="131"/>
      <w:r w:rsidRPr="008E1356">
        <w:rPr>
          <w:rFonts w:ascii="Times New Roman" w:hAnsi="Times New Roman" w:cs="Times New Roman"/>
          <w:b w:val="0"/>
          <w:color w:val="000000" w:themeColor="text1"/>
          <w:sz w:val="24"/>
          <w:szCs w:val="24"/>
        </w:rPr>
        <w:t xml:space="preserve"> </w:t>
      </w:r>
    </w:p>
    <w:p w:rsidR="001E3E7B" w:rsidRPr="00816793" w:rsidRDefault="001E3E7B" w:rsidP="00E75515">
      <w:pPr>
        <w:pStyle w:val="NormalWeb"/>
        <w:ind w:left="1440" w:firstLine="0"/>
        <w:rPr>
          <w:i/>
          <w:color w:val="auto"/>
        </w:rPr>
      </w:pPr>
      <w:r w:rsidRPr="00816793">
        <w:rPr>
          <w:i/>
          <w:color w:val="auto"/>
        </w:rPr>
        <w:t>The Government is determined that the Electoral Commission should be armed with the powers necessary to enforce the disclosure requirements of the Act. The Commission has for some time had the power to conduct investigations where it has reasonable grounds to believe that an offence relating to the disclosure provisions of the Act has been committed. The</w:t>
      </w:r>
      <w:r w:rsidRPr="00816793">
        <w:rPr>
          <w:color w:val="auto"/>
        </w:rPr>
        <w:t xml:space="preserve"> [new]</w:t>
      </w:r>
      <w:r w:rsidRPr="00816793">
        <w:rPr>
          <w:i/>
          <w:color w:val="auto"/>
        </w:rPr>
        <w:t xml:space="preserve"> provisions amount to the ability to conduct a spot audit of a political party or a candidate's financial affairs to ensure the Act has not been breached. </w:t>
      </w:r>
    </w:p>
    <w:p w:rsidR="001E3E7B" w:rsidRPr="00816793" w:rsidRDefault="001E3E7B" w:rsidP="00E75515">
      <w:pPr>
        <w:pStyle w:val="NormalWeb"/>
        <w:ind w:left="1440" w:firstLine="0"/>
        <w:rPr>
          <w:i/>
          <w:color w:val="auto"/>
        </w:rPr>
      </w:pPr>
      <w:r w:rsidRPr="00816793">
        <w:rPr>
          <w:i/>
          <w:color w:val="auto"/>
        </w:rPr>
        <w:t xml:space="preserve">While the Commission retains confidence in the efficacy of such compliance audits as an enforcement tool, the current provisions require the Commission to have reasonable grounds to believe that a breach of the Act may have occurred in order to activate an audit. This has prevented the Commission from conducting random audits. </w:t>
      </w:r>
    </w:p>
    <w:p w:rsidR="001E3E7B" w:rsidRPr="00816793" w:rsidRDefault="001E3E7B" w:rsidP="00E75515">
      <w:pPr>
        <w:pStyle w:val="NormalWeb"/>
        <w:ind w:left="1440" w:firstLine="0"/>
        <w:rPr>
          <w:i/>
          <w:color w:val="auto"/>
        </w:rPr>
      </w:pPr>
      <w:r w:rsidRPr="00816793">
        <w:rPr>
          <w:i/>
          <w:color w:val="auto"/>
        </w:rPr>
        <w:t>The Government's amendments will remove the deficiencies in the Act and provide the Electoral Commission with the power to subject political and third parties to random audits to ensure compliance with the disclosure requirements of the Act. The Commission will be able to do so at any time and will not be required to have a reasonable ground to suspect an offence under the Act has been committed. Political and third parties will be subject to a random audit at any time.</w:t>
      </w:r>
      <w:r w:rsidRPr="00816793">
        <w:rPr>
          <w:rStyle w:val="FootnoteReference"/>
          <w:i/>
          <w:color w:val="auto"/>
        </w:rPr>
        <w:footnoteReference w:id="45"/>
      </w:r>
      <w:r w:rsidRPr="00816793">
        <w:rPr>
          <w:i/>
          <w:color w:val="auto"/>
        </w:rPr>
        <w:t xml:space="preserve"> </w:t>
      </w:r>
    </w:p>
    <w:p w:rsidR="001E3E7B"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32" w:name="_Toc339540974"/>
      <w:r w:rsidRPr="008E1356">
        <w:rPr>
          <w:rFonts w:ascii="Times New Roman" w:hAnsi="Times New Roman" w:cs="Times New Roman"/>
          <w:b w:val="0"/>
          <w:color w:val="000000" w:themeColor="text1"/>
          <w:sz w:val="24"/>
          <w:szCs w:val="24"/>
        </w:rPr>
        <w:t xml:space="preserve">Importantly, representatives from the FAD area have noted that there has been a tendency away from a ‘risk-based’, targeted approach to applying section 316(2A) because the term ‘risk’ tends to indicate some level of actual or suspected wrongdoing, before inquiries have even been undertaken.  This in itself is thought to be potentially damaging to the relationship between political parties, associated entities and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as well as the educative function that is sought to be performed as a part of obtaining the voluntary compliance of the </w:t>
      </w:r>
      <w:r w:rsidR="00394E49">
        <w:rPr>
          <w:rFonts w:ascii="Times New Roman" w:hAnsi="Times New Roman" w:cs="Times New Roman"/>
          <w:b w:val="0"/>
          <w:color w:val="000000" w:themeColor="text1"/>
          <w:sz w:val="24"/>
          <w:szCs w:val="24"/>
        </w:rPr>
        <w:t>willing</w:t>
      </w:r>
      <w:r w:rsidRPr="008E1356">
        <w:rPr>
          <w:rFonts w:ascii="Times New Roman" w:hAnsi="Times New Roman" w:cs="Times New Roman"/>
          <w:b w:val="0"/>
          <w:color w:val="000000" w:themeColor="text1"/>
          <w:sz w:val="24"/>
          <w:szCs w:val="24"/>
        </w:rPr>
        <w:t>.</w:t>
      </w:r>
      <w:bookmarkEnd w:id="132"/>
      <w:r w:rsidRPr="008E1356">
        <w:rPr>
          <w:rFonts w:ascii="Times New Roman" w:hAnsi="Times New Roman" w:cs="Times New Roman"/>
          <w:b w:val="0"/>
          <w:color w:val="000000" w:themeColor="text1"/>
          <w:sz w:val="24"/>
          <w:szCs w:val="24"/>
        </w:rPr>
        <w:t xml:space="preserve">  </w:t>
      </w:r>
    </w:p>
    <w:p w:rsidR="005038A3" w:rsidRPr="005038A3" w:rsidRDefault="005038A3" w:rsidP="005038A3"/>
    <w:p w:rsidR="001E3E7B"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33" w:name="_Toc339540975"/>
      <w:r w:rsidRPr="008E1356">
        <w:rPr>
          <w:rFonts w:ascii="Times New Roman" w:hAnsi="Times New Roman" w:cs="Times New Roman"/>
          <w:b w:val="0"/>
          <w:color w:val="000000" w:themeColor="text1"/>
          <w:sz w:val="24"/>
          <w:szCs w:val="24"/>
        </w:rPr>
        <w:lastRenderedPageBreak/>
        <w:t>It is clear then that a new, targeted approach to the application of section 316(2A) to complement the current program involving each political party being subject to a compliance review once in an electoral cycle, involves a significant shift in rationale for the way in which the power is applied.  It also has a number of subsequent implications.</w:t>
      </w:r>
      <w:bookmarkEnd w:id="133"/>
    </w:p>
    <w:p w:rsidR="00880A51" w:rsidRPr="00DE6E1C" w:rsidRDefault="00880A51" w:rsidP="00DE6E1C">
      <w:pPr>
        <w:pStyle w:val="Heading2"/>
        <w:rPr>
          <w:rFonts w:ascii="Times New Roman" w:hAnsi="Times New Roman" w:cs="Times New Roman"/>
        </w:rPr>
      </w:pPr>
      <w:r w:rsidRPr="00DE6E1C">
        <w:rPr>
          <w:rFonts w:ascii="Times New Roman" w:hAnsi="Times New Roman" w:cs="Times New Roman"/>
          <w:color w:val="auto"/>
        </w:rPr>
        <w:t>Impact of a targeted application of section 316(2A)</w:t>
      </w:r>
    </w:p>
    <w:p w:rsidR="001E3E7B" w:rsidRPr="00880A51" w:rsidRDefault="001E3E7B" w:rsidP="00880A51">
      <w:pPr>
        <w:pStyle w:val="Heading2"/>
        <w:numPr>
          <w:ilvl w:val="1"/>
          <w:numId w:val="27"/>
        </w:numPr>
        <w:ind w:left="567" w:hanging="567"/>
        <w:rPr>
          <w:rFonts w:ascii="Times New Roman" w:hAnsi="Times New Roman" w:cs="Times New Roman"/>
          <w:b w:val="0"/>
          <w:color w:val="auto"/>
        </w:rPr>
      </w:pPr>
      <w:r w:rsidRPr="00880A51">
        <w:rPr>
          <w:rFonts w:ascii="Times New Roman" w:hAnsi="Times New Roman" w:cs="Times New Roman"/>
          <w:b w:val="0"/>
          <w:color w:val="auto"/>
          <w:sz w:val="24"/>
          <w:szCs w:val="24"/>
        </w:rPr>
        <w:t xml:space="preserve">In order to protect the </w:t>
      </w:r>
      <w:r w:rsidR="00495542" w:rsidRPr="00880A51">
        <w:rPr>
          <w:rFonts w:ascii="Times New Roman" w:hAnsi="Times New Roman" w:cs="Times New Roman"/>
          <w:b w:val="0"/>
          <w:color w:val="auto"/>
          <w:sz w:val="24"/>
          <w:szCs w:val="24"/>
        </w:rPr>
        <w:t>Commission</w:t>
      </w:r>
      <w:r w:rsidRPr="00880A51">
        <w:rPr>
          <w:rFonts w:ascii="Times New Roman" w:hAnsi="Times New Roman" w:cs="Times New Roman"/>
          <w:b w:val="0"/>
          <w:color w:val="auto"/>
          <w:sz w:val="24"/>
          <w:szCs w:val="24"/>
        </w:rPr>
        <w:t xml:space="preserve">’s status as a politically neutral body responsible for the conduct of fair and impartial elections, consistent and transparent policies in relation to the application of section 316(2A) would need to be devised. </w:t>
      </w:r>
    </w:p>
    <w:p w:rsidR="004E54B7" w:rsidRPr="00072952" w:rsidRDefault="001E3E7B" w:rsidP="00011B64">
      <w:pPr>
        <w:pStyle w:val="Heading2"/>
        <w:numPr>
          <w:ilvl w:val="1"/>
          <w:numId w:val="27"/>
        </w:numPr>
        <w:ind w:left="567" w:hanging="567"/>
        <w:rPr>
          <w:rFonts w:ascii="Times New Roman" w:hAnsi="Times New Roman" w:cs="Times New Roman"/>
          <w:b w:val="0"/>
          <w:color w:val="000000" w:themeColor="text1"/>
          <w:sz w:val="24"/>
          <w:szCs w:val="24"/>
        </w:rPr>
      </w:pPr>
      <w:bookmarkStart w:id="134" w:name="_Toc339540977"/>
      <w:r w:rsidRPr="008E1356">
        <w:rPr>
          <w:rFonts w:ascii="Times New Roman" w:hAnsi="Times New Roman" w:cs="Times New Roman"/>
          <w:b w:val="0"/>
          <w:color w:val="000000" w:themeColor="text1"/>
          <w:sz w:val="24"/>
          <w:szCs w:val="24"/>
        </w:rPr>
        <w:t xml:space="preserve">The targeted application of section 316(2A) could potentially expose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to criticism on the basis that the agency is essentially trying to broaden their powers of investigation.  The responses to such propositions are all outlined above</w:t>
      </w:r>
      <w:r w:rsidR="00055F61">
        <w:rPr>
          <w:rFonts w:ascii="Times New Roman" w:hAnsi="Times New Roman" w:cs="Times New Roman"/>
          <w:b w:val="0"/>
          <w:color w:val="000000" w:themeColor="text1"/>
          <w:sz w:val="24"/>
          <w:szCs w:val="24"/>
        </w:rPr>
        <w:t xml:space="preserve">. </w:t>
      </w:r>
      <w:r w:rsidR="008C66FA">
        <w:rPr>
          <w:rFonts w:ascii="Times New Roman" w:hAnsi="Times New Roman" w:cs="Times New Roman"/>
          <w:b w:val="0"/>
          <w:color w:val="000000" w:themeColor="text1"/>
          <w:sz w:val="24"/>
          <w:szCs w:val="24"/>
        </w:rPr>
        <w:t xml:space="preserve"> It is also of note that many</w:t>
      </w:r>
      <w:r w:rsidR="00055F61">
        <w:rPr>
          <w:rFonts w:ascii="Times New Roman" w:hAnsi="Times New Roman" w:cs="Times New Roman"/>
          <w:b w:val="0"/>
          <w:color w:val="000000" w:themeColor="text1"/>
          <w:sz w:val="24"/>
          <w:szCs w:val="24"/>
        </w:rPr>
        <w:t xml:space="preserve"> other Commonwealth agencies, including those performing investigative functions, for example, Fair Work Australia, </w:t>
      </w:r>
      <w:r w:rsidR="0097097A">
        <w:rPr>
          <w:rFonts w:ascii="Times New Roman" w:hAnsi="Times New Roman" w:cs="Times New Roman"/>
          <w:b w:val="0"/>
          <w:color w:val="000000" w:themeColor="text1"/>
          <w:sz w:val="24"/>
          <w:szCs w:val="24"/>
        </w:rPr>
        <w:t xml:space="preserve">have frameworks that provide for the pursuit of inquiries without the need for a ‘reasonable grounds’ threshold to be met. </w:t>
      </w:r>
      <w:bookmarkEnd w:id="134"/>
    </w:p>
    <w:p w:rsidR="005038A3" w:rsidRPr="00011B64" w:rsidRDefault="001E3E7B" w:rsidP="005038A3">
      <w:pPr>
        <w:pStyle w:val="Heading2"/>
        <w:numPr>
          <w:ilvl w:val="1"/>
          <w:numId w:val="27"/>
        </w:numPr>
        <w:ind w:left="567" w:hanging="567"/>
        <w:rPr>
          <w:rFonts w:ascii="Times New Roman" w:hAnsi="Times New Roman" w:cs="Times New Roman"/>
          <w:b w:val="0"/>
          <w:color w:val="000000" w:themeColor="text1"/>
          <w:sz w:val="24"/>
          <w:szCs w:val="24"/>
        </w:rPr>
      </w:pPr>
      <w:bookmarkStart w:id="135" w:name="_Toc339540979"/>
      <w:r w:rsidRPr="008E1356">
        <w:rPr>
          <w:rFonts w:ascii="Times New Roman" w:hAnsi="Times New Roman" w:cs="Times New Roman"/>
          <w:b w:val="0"/>
          <w:color w:val="000000" w:themeColor="text1"/>
          <w:sz w:val="24"/>
          <w:szCs w:val="24"/>
        </w:rPr>
        <w:t xml:space="preserve">Where a targeted application of the </w:t>
      </w:r>
      <w:r w:rsidR="001009AF">
        <w:rPr>
          <w:rFonts w:ascii="Times New Roman" w:hAnsi="Times New Roman" w:cs="Times New Roman"/>
          <w:b w:val="0"/>
          <w:color w:val="000000" w:themeColor="text1"/>
          <w:sz w:val="24"/>
          <w:szCs w:val="24"/>
        </w:rPr>
        <w:t xml:space="preserve">section 316(2A) </w:t>
      </w:r>
      <w:r w:rsidRPr="008E1356">
        <w:rPr>
          <w:rFonts w:ascii="Times New Roman" w:hAnsi="Times New Roman" w:cs="Times New Roman"/>
          <w:b w:val="0"/>
          <w:color w:val="000000" w:themeColor="text1"/>
          <w:sz w:val="24"/>
          <w:szCs w:val="24"/>
        </w:rPr>
        <w:t xml:space="preserve">power takes place and information is uncovered that would meet a ‘reasonable grounds’ test, the </w:t>
      </w:r>
      <w:r w:rsidR="00011B64">
        <w:rPr>
          <w:rFonts w:ascii="Times New Roman" w:hAnsi="Times New Roman" w:cs="Times New Roman"/>
          <w:b w:val="0"/>
          <w:color w:val="000000" w:themeColor="text1"/>
          <w:sz w:val="24"/>
          <w:szCs w:val="24"/>
        </w:rPr>
        <w:t xml:space="preserve">initial </w:t>
      </w:r>
      <w:r w:rsidRPr="008E1356">
        <w:rPr>
          <w:rFonts w:ascii="Times New Roman" w:hAnsi="Times New Roman" w:cs="Times New Roman"/>
          <w:b w:val="0"/>
          <w:color w:val="000000" w:themeColor="text1"/>
          <w:sz w:val="24"/>
          <w:szCs w:val="24"/>
        </w:rPr>
        <w:t>‘</w:t>
      </w:r>
      <w:r w:rsidR="00011B64">
        <w:rPr>
          <w:rFonts w:ascii="Times New Roman" w:hAnsi="Times New Roman" w:cs="Times New Roman"/>
          <w:b w:val="0"/>
          <w:color w:val="000000" w:themeColor="text1"/>
          <w:sz w:val="24"/>
          <w:szCs w:val="24"/>
        </w:rPr>
        <w:t xml:space="preserve">compliance </w:t>
      </w:r>
      <w:r w:rsidRPr="008E1356">
        <w:rPr>
          <w:rFonts w:ascii="Times New Roman" w:hAnsi="Times New Roman" w:cs="Times New Roman"/>
          <w:b w:val="0"/>
          <w:color w:val="000000" w:themeColor="text1"/>
          <w:sz w:val="24"/>
          <w:szCs w:val="24"/>
        </w:rPr>
        <w:t xml:space="preserve">review’ should cease and be replaced by an </w:t>
      </w:r>
      <w:r w:rsidR="00011B64">
        <w:rPr>
          <w:rFonts w:ascii="Times New Roman" w:hAnsi="Times New Roman" w:cs="Times New Roman"/>
          <w:b w:val="0"/>
          <w:color w:val="000000" w:themeColor="text1"/>
          <w:sz w:val="24"/>
          <w:szCs w:val="24"/>
        </w:rPr>
        <w:t>‘</w:t>
      </w:r>
      <w:r w:rsidRPr="008E1356">
        <w:rPr>
          <w:rFonts w:ascii="Times New Roman" w:hAnsi="Times New Roman" w:cs="Times New Roman"/>
          <w:b w:val="0"/>
          <w:color w:val="000000" w:themeColor="text1"/>
          <w:sz w:val="24"/>
          <w:szCs w:val="24"/>
        </w:rPr>
        <w:t>investigation</w:t>
      </w:r>
      <w:r w:rsidR="00011B64">
        <w:rPr>
          <w:rFonts w:ascii="Times New Roman" w:hAnsi="Times New Roman" w:cs="Times New Roman"/>
          <w:b w:val="0"/>
          <w:color w:val="000000" w:themeColor="text1"/>
          <w:sz w:val="24"/>
          <w:szCs w:val="24"/>
        </w:rPr>
        <w:t>’</w:t>
      </w:r>
      <w:r w:rsidRPr="008E1356">
        <w:rPr>
          <w:rFonts w:ascii="Times New Roman" w:hAnsi="Times New Roman" w:cs="Times New Roman"/>
          <w:b w:val="0"/>
          <w:color w:val="000000" w:themeColor="text1"/>
          <w:sz w:val="24"/>
          <w:szCs w:val="24"/>
        </w:rPr>
        <w:t xml:space="preserve"> including more in-depth analysis under section 316(3).  This will then provide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with the power to require documents and evidence to be given by any ‘person’ as opposed to the limitation in section 316(2A) which is only restricted to particular people and office bearers identified under the disclosure scheme.</w:t>
      </w:r>
      <w:bookmarkEnd w:id="135"/>
    </w:p>
    <w:p w:rsidR="00011B64" w:rsidRPr="00011B64" w:rsidRDefault="00CF0BF7" w:rsidP="00011B64">
      <w:pPr>
        <w:pStyle w:val="Heading2"/>
        <w:numPr>
          <w:ilvl w:val="1"/>
          <w:numId w:val="27"/>
        </w:numPr>
        <w:ind w:left="567" w:hanging="567"/>
        <w:rPr>
          <w:rFonts w:ascii="Times New Roman" w:hAnsi="Times New Roman" w:cs="Times New Roman"/>
          <w:b w:val="0"/>
          <w:color w:val="000000" w:themeColor="text1"/>
          <w:sz w:val="24"/>
          <w:szCs w:val="24"/>
        </w:rPr>
      </w:pPr>
      <w:bookmarkStart w:id="136" w:name="_Toc339540980"/>
      <w:r>
        <w:rPr>
          <w:rFonts w:ascii="Times New Roman" w:hAnsi="Times New Roman" w:cs="Times New Roman"/>
          <w:b w:val="0"/>
          <w:color w:val="000000" w:themeColor="text1"/>
          <w:sz w:val="24"/>
          <w:szCs w:val="24"/>
        </w:rPr>
        <w:t>Short of legislative</w:t>
      </w:r>
      <w:r w:rsidR="001E3E7B" w:rsidRPr="008E1356">
        <w:rPr>
          <w:rFonts w:ascii="Times New Roman" w:hAnsi="Times New Roman" w:cs="Times New Roman"/>
          <w:b w:val="0"/>
          <w:color w:val="000000" w:themeColor="text1"/>
          <w:sz w:val="24"/>
          <w:szCs w:val="24"/>
        </w:rPr>
        <w:t xml:space="preserve"> change to create a link between the provisions </w:t>
      </w:r>
      <w:r w:rsidR="00A00578">
        <w:rPr>
          <w:rFonts w:ascii="Times New Roman" w:hAnsi="Times New Roman" w:cs="Times New Roman"/>
          <w:b w:val="0"/>
          <w:color w:val="000000" w:themeColor="text1"/>
          <w:sz w:val="24"/>
          <w:szCs w:val="24"/>
        </w:rPr>
        <w:t>specifically stating the circumstances that will cause a process to</w:t>
      </w:r>
      <w:r>
        <w:rPr>
          <w:rFonts w:ascii="Times New Roman" w:hAnsi="Times New Roman" w:cs="Times New Roman"/>
          <w:b w:val="0"/>
          <w:color w:val="000000" w:themeColor="text1"/>
          <w:sz w:val="24"/>
          <w:szCs w:val="24"/>
        </w:rPr>
        <w:t xml:space="preserve"> shift from a ‘compliance review’ under section 316(2A) to an investigation under section 316(3)</w:t>
      </w:r>
      <w:r w:rsidR="001E3E7B" w:rsidRPr="008E1356">
        <w:rPr>
          <w:rFonts w:ascii="Times New Roman" w:hAnsi="Times New Roman" w:cs="Times New Roman"/>
          <w:b w:val="0"/>
          <w:color w:val="000000" w:themeColor="text1"/>
          <w:sz w:val="24"/>
          <w:szCs w:val="24"/>
        </w:rPr>
        <w:t>, transparent policies and processes</w:t>
      </w:r>
      <w:r w:rsidR="0068696D" w:rsidRPr="008E1356">
        <w:rPr>
          <w:rFonts w:ascii="Times New Roman" w:hAnsi="Times New Roman" w:cs="Times New Roman"/>
          <w:b w:val="0"/>
          <w:color w:val="000000" w:themeColor="text1"/>
          <w:sz w:val="24"/>
          <w:szCs w:val="24"/>
        </w:rPr>
        <w:t xml:space="preserve"> need to</w:t>
      </w:r>
      <w:r w:rsidR="001E3E7B" w:rsidRPr="008E1356">
        <w:rPr>
          <w:rFonts w:ascii="Times New Roman" w:hAnsi="Times New Roman" w:cs="Times New Roman"/>
          <w:b w:val="0"/>
          <w:color w:val="000000" w:themeColor="text1"/>
          <w:sz w:val="24"/>
          <w:szCs w:val="24"/>
        </w:rPr>
        <w:t xml:space="preserve"> be devised</w:t>
      </w:r>
      <w:r>
        <w:rPr>
          <w:rFonts w:ascii="Times New Roman" w:hAnsi="Times New Roman" w:cs="Times New Roman"/>
          <w:b w:val="0"/>
          <w:color w:val="000000" w:themeColor="text1"/>
          <w:sz w:val="24"/>
          <w:szCs w:val="24"/>
        </w:rPr>
        <w:t>. The policies and procedures need to outline</w:t>
      </w:r>
      <w:r w:rsidR="001E3E7B" w:rsidRPr="008E1356">
        <w:rPr>
          <w:rFonts w:ascii="Times New Roman" w:hAnsi="Times New Roman" w:cs="Times New Roman"/>
          <w:b w:val="0"/>
          <w:color w:val="000000" w:themeColor="text1"/>
          <w:sz w:val="24"/>
          <w:szCs w:val="24"/>
        </w:rPr>
        <w:t xml:space="preserve"> the</w:t>
      </w:r>
      <w:r>
        <w:rPr>
          <w:rFonts w:ascii="Times New Roman" w:hAnsi="Times New Roman" w:cs="Times New Roman"/>
          <w:b w:val="0"/>
          <w:color w:val="000000" w:themeColor="text1"/>
          <w:sz w:val="24"/>
          <w:szCs w:val="24"/>
        </w:rPr>
        <w:t xml:space="preserve"> circumstances in which the</w:t>
      </w:r>
      <w:r w:rsidR="001E3E7B" w:rsidRPr="008E1356">
        <w:rPr>
          <w:rFonts w:ascii="Times New Roman" w:hAnsi="Times New Roman" w:cs="Times New Roman"/>
          <w:b w:val="0"/>
          <w:color w:val="000000" w:themeColor="text1"/>
          <w:sz w:val="24"/>
          <w:szCs w:val="24"/>
        </w:rPr>
        <w:t xml:space="preserve"> discovery of a particular issue in examination of financial information under section 316(2A) could prompt a consideration of whether there are ‘reasonable grounds’ to then progress the ‘inquiry’ under section 316(2A) into full investigation under section 316(3)</w:t>
      </w:r>
      <w:r w:rsidR="00680BEC">
        <w:rPr>
          <w:rFonts w:ascii="Times New Roman" w:hAnsi="Times New Roman" w:cs="Times New Roman"/>
          <w:b w:val="0"/>
          <w:color w:val="000000" w:themeColor="text1"/>
          <w:sz w:val="24"/>
          <w:szCs w:val="24"/>
        </w:rPr>
        <w:t>.</w:t>
      </w:r>
      <w:r w:rsidR="0068696D" w:rsidRPr="008E1356">
        <w:rPr>
          <w:rStyle w:val="FootnoteReference"/>
          <w:rFonts w:ascii="Times New Roman" w:hAnsi="Times New Roman" w:cs="Times New Roman"/>
          <w:b w:val="0"/>
          <w:color w:val="000000" w:themeColor="text1"/>
          <w:sz w:val="24"/>
          <w:szCs w:val="24"/>
        </w:rPr>
        <w:footnoteReference w:id="46"/>
      </w:r>
      <w:bookmarkEnd w:id="136"/>
      <w:r w:rsidR="001E3E7B" w:rsidRPr="008E1356">
        <w:rPr>
          <w:rFonts w:ascii="Times New Roman" w:hAnsi="Times New Roman" w:cs="Times New Roman"/>
          <w:b w:val="0"/>
          <w:color w:val="000000" w:themeColor="text1"/>
          <w:sz w:val="24"/>
          <w:szCs w:val="24"/>
        </w:rPr>
        <w:t xml:space="preserve"> </w:t>
      </w:r>
    </w:p>
    <w:p w:rsidR="000F7ED3" w:rsidRDefault="001E3E7B" w:rsidP="00011B64">
      <w:pPr>
        <w:pStyle w:val="Heading2"/>
        <w:numPr>
          <w:ilvl w:val="1"/>
          <w:numId w:val="27"/>
        </w:numPr>
        <w:ind w:left="567" w:hanging="567"/>
        <w:rPr>
          <w:rFonts w:ascii="Times New Roman" w:hAnsi="Times New Roman" w:cs="Times New Roman"/>
          <w:b w:val="0"/>
          <w:color w:val="000000" w:themeColor="text1"/>
          <w:sz w:val="24"/>
          <w:szCs w:val="24"/>
        </w:rPr>
      </w:pPr>
      <w:bookmarkStart w:id="137" w:name="_Toc339540981"/>
      <w:r w:rsidRPr="008E1356">
        <w:rPr>
          <w:rFonts w:ascii="Times New Roman" w:hAnsi="Times New Roman" w:cs="Times New Roman"/>
          <w:b w:val="0"/>
          <w:color w:val="000000" w:themeColor="text1"/>
          <w:sz w:val="24"/>
          <w:szCs w:val="24"/>
        </w:rPr>
        <w:t xml:space="preserve">There are implications as to the resources that will need to be directed towards disclosure and compliance regardless of the approach that is taken to applying section 316(2A).  </w:t>
      </w:r>
    </w:p>
    <w:p w:rsidR="00011B64" w:rsidRPr="00CF0BF7" w:rsidRDefault="001E3E7B" w:rsidP="00011B64">
      <w:pPr>
        <w:pStyle w:val="Heading2"/>
        <w:numPr>
          <w:ilvl w:val="1"/>
          <w:numId w:val="27"/>
        </w:numPr>
        <w:ind w:left="567" w:hanging="567"/>
        <w:rPr>
          <w:rFonts w:ascii="Times New Roman" w:hAnsi="Times New Roman" w:cs="Times New Roman"/>
          <w:b w:val="0"/>
          <w:color w:val="000000" w:themeColor="text1"/>
          <w:sz w:val="24"/>
          <w:szCs w:val="24"/>
        </w:rPr>
      </w:pPr>
      <w:r w:rsidRPr="008E1356">
        <w:rPr>
          <w:rFonts w:ascii="Times New Roman" w:hAnsi="Times New Roman" w:cs="Times New Roman"/>
          <w:b w:val="0"/>
          <w:color w:val="000000" w:themeColor="text1"/>
          <w:sz w:val="24"/>
          <w:szCs w:val="24"/>
        </w:rPr>
        <w:lastRenderedPageBreak/>
        <w:t>A revised team structure where one team follows the standard compliance review program and another conducts the targeted reviews seems fundamental.  The teams would need to develop their targets and programs in collaboration to avoid overlap.</w:t>
      </w:r>
      <w:bookmarkEnd w:id="137"/>
    </w:p>
    <w:p w:rsidR="001E3E7B" w:rsidRDefault="001E3E7B" w:rsidP="008E1356">
      <w:pPr>
        <w:pStyle w:val="Heading2"/>
        <w:numPr>
          <w:ilvl w:val="1"/>
          <w:numId w:val="27"/>
        </w:numPr>
        <w:ind w:left="567" w:hanging="567"/>
        <w:rPr>
          <w:rFonts w:ascii="Times New Roman" w:hAnsi="Times New Roman" w:cs="Times New Roman"/>
          <w:b w:val="0"/>
          <w:color w:val="000000" w:themeColor="text1"/>
          <w:sz w:val="24"/>
          <w:szCs w:val="24"/>
        </w:rPr>
      </w:pPr>
      <w:bookmarkStart w:id="138" w:name="_Toc339540982"/>
      <w:r w:rsidRPr="008E1356">
        <w:rPr>
          <w:rFonts w:ascii="Times New Roman" w:hAnsi="Times New Roman" w:cs="Times New Roman"/>
          <w:b w:val="0"/>
          <w:color w:val="000000" w:themeColor="text1"/>
          <w:sz w:val="24"/>
          <w:szCs w:val="24"/>
        </w:rPr>
        <w:t>The approach that is taken also has significant implications for the depth and nature of analysis undertaken on the financial records of those subject to an exercise of the powers under section 316.</w:t>
      </w:r>
      <w:bookmarkEnd w:id="138"/>
    </w:p>
    <w:p w:rsidR="00880A51" w:rsidRPr="00DE6E1C" w:rsidRDefault="00880A51" w:rsidP="00DE6E1C">
      <w:pPr>
        <w:pStyle w:val="Heading2"/>
        <w:rPr>
          <w:rFonts w:ascii="Times New Roman" w:hAnsi="Times New Roman" w:cs="Times New Roman"/>
          <w:color w:val="auto"/>
        </w:rPr>
      </w:pPr>
      <w:r w:rsidRPr="00DE6E1C">
        <w:rPr>
          <w:rFonts w:ascii="Times New Roman" w:hAnsi="Times New Roman" w:cs="Times New Roman"/>
          <w:color w:val="auto"/>
        </w:rPr>
        <w:t>Depth of analysis of financial records</w:t>
      </w:r>
    </w:p>
    <w:p w:rsidR="001E3E7B" w:rsidRPr="00880A51" w:rsidRDefault="001E3E7B" w:rsidP="00880A51">
      <w:pPr>
        <w:pStyle w:val="Heading2"/>
        <w:numPr>
          <w:ilvl w:val="1"/>
          <w:numId w:val="27"/>
        </w:numPr>
        <w:ind w:left="567" w:hanging="567"/>
        <w:rPr>
          <w:rFonts w:ascii="Times New Roman" w:hAnsi="Times New Roman" w:cs="Times New Roman"/>
          <w:b w:val="0"/>
          <w:color w:val="auto"/>
        </w:rPr>
      </w:pPr>
      <w:r w:rsidRPr="00880A51">
        <w:rPr>
          <w:rFonts w:ascii="Times New Roman" w:hAnsi="Times New Roman" w:cs="Times New Roman"/>
          <w:b w:val="0"/>
          <w:color w:val="auto"/>
          <w:sz w:val="24"/>
          <w:szCs w:val="24"/>
        </w:rPr>
        <w:t>The current approach to the application of section 316(2A) means that the process followed when political parties are ‘reviewed’ involves a lesser degree of rigour than is generally applied as part of a ‘full’ audit under accepted definitions. This is a decision that has likely to have been made based on the resources that have traditionally been available for FAD work and the absence of technical skill and expertise that has traditionally existed in FAD.</w:t>
      </w:r>
      <w:r w:rsidR="0068696D" w:rsidRPr="00880A51">
        <w:rPr>
          <w:rFonts w:ascii="Times New Roman" w:hAnsi="Times New Roman" w:cs="Times New Roman"/>
          <w:b w:val="0"/>
          <w:color w:val="auto"/>
          <w:sz w:val="24"/>
          <w:szCs w:val="24"/>
        </w:rPr>
        <w:t xml:space="preserve">  A</w:t>
      </w:r>
      <w:r w:rsidR="00EE0D05" w:rsidRPr="00880A51">
        <w:rPr>
          <w:rFonts w:ascii="Times New Roman" w:hAnsi="Times New Roman" w:cs="Times New Roman"/>
          <w:b w:val="0"/>
          <w:color w:val="auto"/>
          <w:sz w:val="24"/>
          <w:szCs w:val="24"/>
        </w:rPr>
        <w:t xml:space="preserve"> major influencing factor in determining this approach has been the section</w:t>
      </w:r>
      <w:r w:rsidR="00072952" w:rsidRPr="00880A51">
        <w:rPr>
          <w:rFonts w:ascii="Times New Roman" w:hAnsi="Times New Roman" w:cs="Times New Roman"/>
          <w:b w:val="0"/>
          <w:color w:val="auto"/>
          <w:sz w:val="24"/>
          <w:szCs w:val="24"/>
        </w:rPr>
        <w:t xml:space="preserve">’s experience </w:t>
      </w:r>
      <w:r w:rsidR="00EE0D05" w:rsidRPr="00880A51">
        <w:rPr>
          <w:rFonts w:ascii="Times New Roman" w:hAnsi="Times New Roman" w:cs="Times New Roman"/>
          <w:b w:val="0"/>
          <w:color w:val="auto"/>
          <w:sz w:val="24"/>
          <w:szCs w:val="24"/>
        </w:rPr>
        <w:t>that the records kept by many organisations captured by the disclosure provisions would never be sufficient to allow for a complete audit.</w:t>
      </w:r>
    </w:p>
    <w:p w:rsidR="005038A3" w:rsidRPr="0029072E" w:rsidRDefault="001E3E7B" w:rsidP="005038A3">
      <w:pPr>
        <w:pStyle w:val="Heading2"/>
        <w:numPr>
          <w:ilvl w:val="1"/>
          <w:numId w:val="27"/>
        </w:numPr>
        <w:ind w:left="567" w:hanging="567"/>
        <w:rPr>
          <w:rFonts w:ascii="Times New Roman" w:hAnsi="Times New Roman" w:cs="Times New Roman"/>
          <w:b w:val="0"/>
          <w:color w:val="000000" w:themeColor="text1"/>
          <w:sz w:val="24"/>
          <w:szCs w:val="24"/>
        </w:rPr>
      </w:pPr>
      <w:bookmarkStart w:id="139" w:name="_Toc339540984"/>
      <w:r w:rsidRPr="008E1356">
        <w:rPr>
          <w:rFonts w:ascii="Times New Roman" w:hAnsi="Times New Roman" w:cs="Times New Roman"/>
          <w:b w:val="0"/>
          <w:color w:val="000000" w:themeColor="text1"/>
          <w:sz w:val="24"/>
          <w:szCs w:val="24"/>
        </w:rPr>
        <w:t>Where an investigation is conducted on the basis of section 316(3) or (3A), the depth of analysis on financial records is much more detailed and requires a higher level of skill and expertise, which potentially does not exist within the current staff.  If arguments suggesting more focused application of section 316(2A) are accepted, this deeper level of analysis will need to be undertaken in each instance in which section 316(2A) is applied, which is naturally more resource intensive than the current approach.</w:t>
      </w:r>
      <w:bookmarkEnd w:id="139"/>
      <w:r w:rsidRPr="008E1356">
        <w:rPr>
          <w:rFonts w:ascii="Times New Roman" w:hAnsi="Times New Roman" w:cs="Times New Roman"/>
          <w:b w:val="0"/>
          <w:color w:val="000000" w:themeColor="text1"/>
          <w:sz w:val="24"/>
          <w:szCs w:val="24"/>
        </w:rPr>
        <w:t xml:space="preserve">  </w:t>
      </w:r>
    </w:p>
    <w:p w:rsidR="00880A51" w:rsidRPr="00880A51" w:rsidRDefault="001E3E7B" w:rsidP="00880A51">
      <w:pPr>
        <w:pStyle w:val="Heading2"/>
        <w:numPr>
          <w:ilvl w:val="1"/>
          <w:numId w:val="27"/>
        </w:numPr>
        <w:ind w:left="567" w:hanging="567"/>
        <w:rPr>
          <w:rFonts w:ascii="Times New Roman" w:hAnsi="Times New Roman" w:cs="Times New Roman"/>
          <w:b w:val="0"/>
          <w:color w:val="000000" w:themeColor="text1"/>
          <w:sz w:val="24"/>
          <w:szCs w:val="24"/>
        </w:rPr>
      </w:pPr>
      <w:bookmarkStart w:id="140" w:name="_Toc339540985"/>
      <w:r w:rsidRPr="008E1356">
        <w:rPr>
          <w:rFonts w:ascii="Times New Roman" w:hAnsi="Times New Roman" w:cs="Times New Roman"/>
          <w:b w:val="0"/>
          <w:color w:val="000000" w:themeColor="text1"/>
          <w:sz w:val="24"/>
          <w:szCs w:val="24"/>
        </w:rPr>
        <w:t xml:space="preserve">There is detailed guidance on the use of the word ‘audit’ in the public sector, but it is worth noting that the term was used extensively in the second reading speech and committee discussions and reports regarding the broadening of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’s investigation power.  The current guidance on the use of the term and the capacity of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to conduct compliance work under section 316 so as to meet that definitional guidance or another comp</w:t>
      </w:r>
      <w:r w:rsidR="0068696D" w:rsidRPr="008E1356">
        <w:rPr>
          <w:rFonts w:ascii="Times New Roman" w:hAnsi="Times New Roman" w:cs="Times New Roman"/>
          <w:b w:val="0"/>
          <w:color w:val="000000" w:themeColor="text1"/>
          <w:sz w:val="24"/>
          <w:szCs w:val="24"/>
        </w:rPr>
        <w:t xml:space="preserve">arable standard, </w:t>
      </w:r>
      <w:r w:rsidRPr="008E1356">
        <w:rPr>
          <w:rFonts w:ascii="Times New Roman" w:hAnsi="Times New Roman" w:cs="Times New Roman"/>
          <w:b w:val="0"/>
          <w:color w:val="000000" w:themeColor="text1"/>
          <w:sz w:val="24"/>
          <w:szCs w:val="24"/>
        </w:rPr>
        <w:t>in light of resources and other constraints</w:t>
      </w:r>
      <w:r w:rsidR="0068696D" w:rsidRPr="008E1356">
        <w:rPr>
          <w:rFonts w:ascii="Times New Roman" w:hAnsi="Times New Roman" w:cs="Times New Roman"/>
          <w:b w:val="0"/>
          <w:color w:val="000000" w:themeColor="text1"/>
          <w:sz w:val="24"/>
          <w:szCs w:val="24"/>
        </w:rPr>
        <w:t>,</w:t>
      </w:r>
      <w:r w:rsidRPr="008E1356">
        <w:rPr>
          <w:rFonts w:ascii="Times New Roman" w:hAnsi="Times New Roman" w:cs="Times New Roman"/>
          <w:b w:val="0"/>
          <w:color w:val="000000" w:themeColor="text1"/>
          <w:sz w:val="24"/>
          <w:szCs w:val="24"/>
        </w:rPr>
        <w:t xml:space="preserve"> will be important in determining the scope of the section 316(2A) powers.</w:t>
      </w:r>
      <w:bookmarkEnd w:id="140"/>
    </w:p>
    <w:p w:rsidR="00D00238" w:rsidRPr="00D00238" w:rsidRDefault="00D00238" w:rsidP="00D00238"/>
    <w:p w:rsidR="00797A62" w:rsidRPr="00797A62" w:rsidRDefault="00797A62" w:rsidP="00797A62"/>
    <w:p w:rsidR="0044574E" w:rsidRPr="0044574E" w:rsidRDefault="0044574E" w:rsidP="0044574E"/>
    <w:p w:rsidR="005038A3" w:rsidRPr="005038A3" w:rsidRDefault="005038A3" w:rsidP="005038A3"/>
    <w:p w:rsidR="00643193" w:rsidRPr="00643193" w:rsidRDefault="00643193" w:rsidP="00643193">
      <w:pPr>
        <w:rPr>
          <w:rFonts w:ascii="Times New Roman" w:eastAsiaTheme="majorEastAsia" w:hAnsi="Times New Roman" w:cs="Times New Roman"/>
          <w:b/>
          <w:bCs/>
          <w:sz w:val="28"/>
          <w:szCs w:val="28"/>
        </w:rPr>
      </w:pPr>
      <w:r>
        <w:rPr>
          <w:rFonts w:ascii="Times New Roman" w:hAnsi="Times New Roman" w:cs="Times New Roman"/>
        </w:rPr>
        <w:br w:type="page"/>
      </w:r>
    </w:p>
    <w:p w:rsidR="001E3E7B" w:rsidRDefault="001E3E7B" w:rsidP="00C9247A">
      <w:pPr>
        <w:pStyle w:val="Heading1"/>
        <w:rPr>
          <w:rFonts w:ascii="Times New Roman" w:hAnsi="Times New Roman" w:cs="Times New Roman"/>
          <w:color w:val="auto"/>
        </w:rPr>
      </w:pPr>
      <w:bookmarkStart w:id="141" w:name="_Toc339540986"/>
      <w:r w:rsidRPr="00045A1E">
        <w:rPr>
          <w:rFonts w:ascii="Times New Roman" w:hAnsi="Times New Roman" w:cs="Times New Roman"/>
          <w:color w:val="auto"/>
        </w:rPr>
        <w:lastRenderedPageBreak/>
        <w:t xml:space="preserve">Part </w:t>
      </w:r>
      <w:r w:rsidR="00384119">
        <w:rPr>
          <w:rFonts w:ascii="Times New Roman" w:hAnsi="Times New Roman" w:cs="Times New Roman"/>
          <w:color w:val="auto"/>
        </w:rPr>
        <w:t>3</w:t>
      </w:r>
      <w:r w:rsidR="003E41C4">
        <w:rPr>
          <w:rFonts w:ascii="Times New Roman" w:hAnsi="Times New Roman" w:cs="Times New Roman"/>
          <w:color w:val="auto"/>
        </w:rPr>
        <w:t>:</w:t>
      </w:r>
      <w:r w:rsidRPr="00045A1E">
        <w:rPr>
          <w:rFonts w:ascii="Times New Roman" w:hAnsi="Times New Roman" w:cs="Times New Roman"/>
          <w:color w:val="auto"/>
        </w:rPr>
        <w:t xml:space="preserve"> Suggestions and observations to improve outcomes in the FAD section</w:t>
      </w:r>
      <w:bookmarkEnd w:id="141"/>
    </w:p>
    <w:p w:rsidR="00880A51" w:rsidRPr="00880A51" w:rsidRDefault="00880A51" w:rsidP="00880A51">
      <w:pPr>
        <w:pStyle w:val="Heading2"/>
        <w:rPr>
          <w:rFonts w:ascii="Times New Roman" w:hAnsi="Times New Roman" w:cs="Times New Roman"/>
          <w:color w:val="auto"/>
        </w:rPr>
      </w:pPr>
      <w:r w:rsidRPr="00880A51">
        <w:rPr>
          <w:rFonts w:ascii="Times New Roman" w:hAnsi="Times New Roman" w:cs="Times New Roman"/>
          <w:color w:val="auto"/>
        </w:rPr>
        <w:t>Background</w:t>
      </w:r>
    </w:p>
    <w:p w:rsidR="001E3E7B" w:rsidRPr="00880A51" w:rsidRDefault="001E3E7B" w:rsidP="00880A51">
      <w:pPr>
        <w:pStyle w:val="Heading2"/>
        <w:numPr>
          <w:ilvl w:val="1"/>
          <w:numId w:val="28"/>
        </w:numPr>
        <w:ind w:left="567" w:hanging="567"/>
        <w:rPr>
          <w:rFonts w:ascii="Times New Roman" w:hAnsi="Times New Roman" w:cs="Times New Roman"/>
          <w:b w:val="0"/>
          <w:color w:val="auto"/>
        </w:rPr>
      </w:pPr>
      <w:r w:rsidRPr="00880A51">
        <w:rPr>
          <w:rFonts w:ascii="Times New Roman" w:hAnsi="Times New Roman" w:cs="Times New Roman"/>
          <w:b w:val="0"/>
          <w:color w:val="auto"/>
          <w:sz w:val="24"/>
          <w:szCs w:val="24"/>
        </w:rPr>
        <w:t xml:space="preserve">The FAD section is responsible for administering four distinct yet conceptually linked functions in Part XI and Part XX of the </w:t>
      </w:r>
      <w:r w:rsidRPr="00880A51">
        <w:rPr>
          <w:rFonts w:ascii="Times New Roman" w:hAnsi="Times New Roman" w:cs="Times New Roman"/>
          <w:b w:val="0"/>
          <w:i/>
          <w:color w:val="auto"/>
          <w:sz w:val="24"/>
          <w:szCs w:val="24"/>
        </w:rPr>
        <w:t xml:space="preserve">Commonwealth Electoral Act 1918 </w:t>
      </w:r>
      <w:r w:rsidRPr="00880A51">
        <w:rPr>
          <w:rFonts w:ascii="Times New Roman" w:hAnsi="Times New Roman" w:cs="Times New Roman"/>
          <w:b w:val="0"/>
          <w:color w:val="auto"/>
          <w:sz w:val="24"/>
          <w:szCs w:val="24"/>
        </w:rPr>
        <w:t xml:space="preserve">(Electoral Act). </w:t>
      </w:r>
      <w:r w:rsidR="00552630" w:rsidRPr="00880A51">
        <w:rPr>
          <w:rFonts w:ascii="Times New Roman" w:hAnsi="Times New Roman" w:cs="Times New Roman"/>
          <w:b w:val="0"/>
          <w:color w:val="auto"/>
          <w:sz w:val="24"/>
          <w:szCs w:val="24"/>
        </w:rPr>
        <w:t>These are</w:t>
      </w:r>
      <w:r w:rsidRPr="00880A51">
        <w:rPr>
          <w:rFonts w:ascii="Times New Roman" w:hAnsi="Times New Roman" w:cs="Times New Roman"/>
          <w:b w:val="0"/>
          <w:color w:val="auto"/>
          <w:sz w:val="24"/>
          <w:szCs w:val="24"/>
        </w:rPr>
        <w:t xml:space="preserve">: </w:t>
      </w:r>
    </w:p>
    <w:p w:rsidR="0089354D" w:rsidRDefault="0089354D" w:rsidP="0089354D">
      <w:pPr>
        <w:pStyle w:val="ListParagraph"/>
        <w:spacing w:line="240" w:lineRule="auto"/>
        <w:ind w:left="1080"/>
        <w:rPr>
          <w:rFonts w:ascii="Times New Roman" w:hAnsi="Times New Roman" w:cs="Times New Roman"/>
          <w:sz w:val="24"/>
          <w:szCs w:val="24"/>
        </w:rPr>
      </w:pPr>
    </w:p>
    <w:p w:rsidR="001E3E7B" w:rsidRPr="00210992" w:rsidRDefault="001E3E7B" w:rsidP="001E3E7B">
      <w:pPr>
        <w:pStyle w:val="ListParagraph"/>
        <w:numPr>
          <w:ilvl w:val="0"/>
          <w:numId w:val="6"/>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The payment of election funding by the </w:t>
      </w:r>
      <w:r w:rsidR="00495542">
        <w:rPr>
          <w:rFonts w:ascii="Times New Roman" w:hAnsi="Times New Roman" w:cs="Times New Roman"/>
          <w:sz w:val="24"/>
          <w:szCs w:val="24"/>
        </w:rPr>
        <w:t>Commission</w:t>
      </w:r>
      <w:r w:rsidRPr="00210992">
        <w:rPr>
          <w:rFonts w:ascii="Times New Roman" w:hAnsi="Times New Roman" w:cs="Times New Roman"/>
          <w:sz w:val="24"/>
          <w:szCs w:val="24"/>
        </w:rPr>
        <w:t xml:space="preserve"> following an election;</w:t>
      </w:r>
    </w:p>
    <w:p w:rsidR="001E3E7B" w:rsidRPr="00210992" w:rsidRDefault="001E3E7B" w:rsidP="001E3E7B">
      <w:pPr>
        <w:pStyle w:val="ListParagraph"/>
        <w:rPr>
          <w:rFonts w:ascii="Times New Roman" w:hAnsi="Times New Roman" w:cs="Times New Roman"/>
          <w:sz w:val="24"/>
          <w:szCs w:val="24"/>
        </w:rPr>
      </w:pPr>
    </w:p>
    <w:p w:rsidR="001E3E7B" w:rsidRPr="00210992" w:rsidRDefault="001E3E7B" w:rsidP="001E3E7B">
      <w:pPr>
        <w:pStyle w:val="ListParagraph"/>
        <w:numPr>
          <w:ilvl w:val="0"/>
          <w:numId w:val="6"/>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The registration of political parties and related processes such as the recognition of state and territory branches, which are central to determinations regarding the payment of election funding and disclosure obligations under Part XX; </w:t>
      </w:r>
    </w:p>
    <w:p w:rsidR="001E3E7B" w:rsidRPr="00210992" w:rsidRDefault="001E3E7B" w:rsidP="001E3E7B">
      <w:pPr>
        <w:pStyle w:val="ListParagraph"/>
        <w:rPr>
          <w:rFonts w:ascii="Times New Roman" w:hAnsi="Times New Roman" w:cs="Times New Roman"/>
          <w:sz w:val="24"/>
          <w:szCs w:val="24"/>
        </w:rPr>
      </w:pPr>
    </w:p>
    <w:p w:rsidR="005B4F5D" w:rsidRPr="005B4F5D" w:rsidRDefault="001E3E7B" w:rsidP="005B4F5D">
      <w:pPr>
        <w:pStyle w:val="ListParagraph"/>
        <w:numPr>
          <w:ilvl w:val="0"/>
          <w:numId w:val="6"/>
        </w:numPr>
        <w:spacing w:line="240" w:lineRule="auto"/>
        <w:rPr>
          <w:rFonts w:ascii="Times New Roman" w:hAnsi="Times New Roman" w:cs="Times New Roman"/>
          <w:sz w:val="24"/>
          <w:szCs w:val="24"/>
        </w:rPr>
      </w:pPr>
      <w:r w:rsidRPr="00210992">
        <w:rPr>
          <w:rFonts w:ascii="Times New Roman" w:hAnsi="Times New Roman" w:cs="Times New Roman"/>
          <w:sz w:val="24"/>
          <w:szCs w:val="24"/>
        </w:rPr>
        <w:t>The annual financial disclosure obligations of political parties, associated entities, donors to political parties and third parties incurring political expenditure in defined categories, as well as election based disclosure by candidates, Senate groups and donors to candidates and Senate groups; and</w:t>
      </w:r>
    </w:p>
    <w:p w:rsidR="005B4F5D" w:rsidRDefault="005B4F5D" w:rsidP="005B4F5D">
      <w:pPr>
        <w:pStyle w:val="ListParagraph"/>
        <w:spacing w:line="240" w:lineRule="auto"/>
        <w:rPr>
          <w:rFonts w:ascii="Times New Roman" w:hAnsi="Times New Roman" w:cs="Times New Roman"/>
          <w:sz w:val="24"/>
          <w:szCs w:val="24"/>
        </w:rPr>
      </w:pPr>
    </w:p>
    <w:p w:rsidR="001E3E7B" w:rsidRPr="008E1356" w:rsidRDefault="001E3E7B" w:rsidP="001E3E7B">
      <w:pPr>
        <w:pStyle w:val="ListParagraph"/>
        <w:numPr>
          <w:ilvl w:val="0"/>
          <w:numId w:val="6"/>
        </w:numPr>
        <w:spacing w:line="240" w:lineRule="auto"/>
        <w:rPr>
          <w:rFonts w:ascii="Times New Roman" w:hAnsi="Times New Roman" w:cs="Times New Roman"/>
          <w:color w:val="000000" w:themeColor="text1"/>
          <w:sz w:val="24"/>
          <w:szCs w:val="24"/>
        </w:rPr>
      </w:pPr>
      <w:r w:rsidRPr="00210992">
        <w:rPr>
          <w:rFonts w:ascii="Times New Roman" w:hAnsi="Times New Roman" w:cs="Times New Roman"/>
          <w:sz w:val="24"/>
          <w:szCs w:val="24"/>
        </w:rPr>
        <w:t xml:space="preserve">The </w:t>
      </w:r>
      <w:r w:rsidR="009B1EF3">
        <w:rPr>
          <w:rFonts w:ascii="Times New Roman" w:hAnsi="Times New Roman" w:cs="Times New Roman"/>
          <w:sz w:val="24"/>
          <w:szCs w:val="24"/>
        </w:rPr>
        <w:t xml:space="preserve">compliance and </w:t>
      </w:r>
      <w:r w:rsidRPr="00210992">
        <w:rPr>
          <w:rFonts w:ascii="Times New Roman" w:hAnsi="Times New Roman" w:cs="Times New Roman"/>
          <w:sz w:val="24"/>
          <w:szCs w:val="24"/>
        </w:rPr>
        <w:t xml:space="preserve">investigations powers to ensure those captured by Part XX </w:t>
      </w:r>
      <w:r w:rsidRPr="008E1356">
        <w:rPr>
          <w:rFonts w:ascii="Times New Roman" w:hAnsi="Times New Roman" w:cs="Times New Roman"/>
          <w:color w:val="000000" w:themeColor="text1"/>
          <w:sz w:val="24"/>
          <w:szCs w:val="24"/>
        </w:rPr>
        <w:t>comply with the provisions.</w:t>
      </w:r>
    </w:p>
    <w:p w:rsidR="00880A51" w:rsidRPr="0089354D" w:rsidRDefault="001E3E7B" w:rsidP="00880A51">
      <w:pPr>
        <w:pStyle w:val="Heading2"/>
        <w:numPr>
          <w:ilvl w:val="1"/>
          <w:numId w:val="28"/>
        </w:numPr>
        <w:ind w:left="567" w:hanging="567"/>
        <w:rPr>
          <w:rFonts w:ascii="Times New Roman" w:hAnsi="Times New Roman" w:cs="Times New Roman"/>
          <w:b w:val="0"/>
          <w:color w:val="000000" w:themeColor="text1"/>
          <w:sz w:val="24"/>
          <w:szCs w:val="24"/>
        </w:rPr>
      </w:pPr>
      <w:bookmarkStart w:id="142" w:name="_Toc339540988"/>
      <w:r w:rsidRPr="008E1356">
        <w:rPr>
          <w:rFonts w:ascii="Times New Roman" w:hAnsi="Times New Roman" w:cs="Times New Roman"/>
          <w:b w:val="0"/>
          <w:color w:val="000000" w:themeColor="text1"/>
          <w:sz w:val="24"/>
          <w:szCs w:val="24"/>
        </w:rPr>
        <w:t xml:space="preserve">Upon its inception, the financial disclosure, election funding and compliance functions were administered by </w:t>
      </w:r>
      <w:r w:rsidR="00947AF2">
        <w:rPr>
          <w:rFonts w:ascii="Times New Roman" w:hAnsi="Times New Roman" w:cs="Times New Roman"/>
          <w:b w:val="0"/>
          <w:color w:val="000000" w:themeColor="text1"/>
          <w:sz w:val="24"/>
          <w:szCs w:val="24"/>
        </w:rPr>
        <w:t>a</w:t>
      </w:r>
      <w:r w:rsidRPr="008E1356">
        <w:rPr>
          <w:rFonts w:ascii="Times New Roman" w:hAnsi="Times New Roman" w:cs="Times New Roman"/>
          <w:b w:val="0"/>
          <w:color w:val="000000" w:themeColor="text1"/>
          <w:sz w:val="24"/>
          <w:szCs w:val="24"/>
        </w:rPr>
        <w:t xml:space="preserve"> single FAD section, with a separate team responsible for party registration.  The section was overseen by </w:t>
      </w:r>
      <w:r w:rsidR="00947AF2">
        <w:rPr>
          <w:rFonts w:ascii="Times New Roman" w:hAnsi="Times New Roman" w:cs="Times New Roman"/>
          <w:b w:val="0"/>
          <w:color w:val="000000" w:themeColor="text1"/>
          <w:sz w:val="24"/>
          <w:szCs w:val="24"/>
        </w:rPr>
        <w:t>one</w:t>
      </w:r>
      <w:r w:rsidRPr="008E1356">
        <w:rPr>
          <w:rFonts w:ascii="Times New Roman" w:hAnsi="Times New Roman" w:cs="Times New Roman"/>
          <w:b w:val="0"/>
          <w:color w:val="000000" w:themeColor="text1"/>
          <w:sz w:val="24"/>
          <w:szCs w:val="24"/>
        </w:rPr>
        <w:t xml:space="preserve"> Director.  The Director was supported by at least</w:t>
      </w:r>
      <w:r w:rsidR="007C38A0" w:rsidRPr="008E1356">
        <w:rPr>
          <w:rFonts w:ascii="Times New Roman" w:hAnsi="Times New Roman" w:cs="Times New Roman"/>
          <w:b w:val="0"/>
          <w:color w:val="000000" w:themeColor="text1"/>
          <w:sz w:val="24"/>
          <w:szCs w:val="24"/>
        </w:rPr>
        <w:t xml:space="preserve"> </w:t>
      </w:r>
      <w:r w:rsidR="005B4F5D" w:rsidRPr="008E1356">
        <w:rPr>
          <w:rFonts w:ascii="Times New Roman" w:hAnsi="Times New Roman" w:cs="Times New Roman"/>
          <w:b w:val="0"/>
          <w:color w:val="000000" w:themeColor="text1"/>
          <w:sz w:val="24"/>
          <w:szCs w:val="24"/>
        </w:rPr>
        <w:t>two</w:t>
      </w:r>
      <w:r w:rsidRPr="008E1356">
        <w:rPr>
          <w:rFonts w:ascii="Times New Roman" w:hAnsi="Times New Roman" w:cs="Times New Roman"/>
          <w:b w:val="0"/>
          <w:color w:val="000000" w:themeColor="text1"/>
          <w:sz w:val="24"/>
          <w:szCs w:val="24"/>
        </w:rPr>
        <w:t xml:space="preserve"> EL 1s and a number of junior staff.</w:t>
      </w:r>
      <w:bookmarkEnd w:id="142"/>
    </w:p>
    <w:p w:rsidR="00880A51" w:rsidRPr="00880A51" w:rsidRDefault="00947AF2" w:rsidP="00880A51">
      <w:pPr>
        <w:pStyle w:val="Heading2"/>
        <w:numPr>
          <w:ilvl w:val="1"/>
          <w:numId w:val="28"/>
        </w:numPr>
        <w:ind w:left="567" w:hanging="567"/>
        <w:rPr>
          <w:rFonts w:ascii="Times New Roman" w:hAnsi="Times New Roman" w:cs="Times New Roman"/>
          <w:b w:val="0"/>
          <w:color w:val="000000" w:themeColor="text1"/>
          <w:sz w:val="24"/>
          <w:szCs w:val="24"/>
        </w:rPr>
      </w:pPr>
      <w:bookmarkStart w:id="143" w:name="_Toc339540989"/>
      <w:r>
        <w:rPr>
          <w:rFonts w:ascii="Times New Roman" w:hAnsi="Times New Roman" w:cs="Times New Roman"/>
          <w:b w:val="0"/>
          <w:color w:val="000000" w:themeColor="text1"/>
          <w:sz w:val="24"/>
          <w:szCs w:val="24"/>
        </w:rPr>
        <w:t>In</w:t>
      </w:r>
      <w:r w:rsidR="001E3E7B" w:rsidRPr="008E1356">
        <w:rPr>
          <w:rFonts w:ascii="Times New Roman" w:hAnsi="Times New Roman" w:cs="Times New Roman"/>
          <w:b w:val="0"/>
          <w:color w:val="000000" w:themeColor="text1"/>
          <w:sz w:val="24"/>
          <w:szCs w:val="24"/>
        </w:rPr>
        <w:t xml:space="preserve"> 2008, </w:t>
      </w:r>
      <w:r>
        <w:rPr>
          <w:rFonts w:ascii="Times New Roman" w:hAnsi="Times New Roman" w:cs="Times New Roman"/>
          <w:b w:val="0"/>
          <w:color w:val="000000" w:themeColor="text1"/>
          <w:sz w:val="24"/>
          <w:szCs w:val="24"/>
        </w:rPr>
        <w:t>an additional position at Director level was created, which led to the</w:t>
      </w:r>
      <w:r w:rsidR="001E3E7B" w:rsidRPr="008E1356">
        <w:rPr>
          <w:rFonts w:ascii="Times New Roman" w:hAnsi="Times New Roman" w:cs="Times New Roman"/>
          <w:b w:val="0"/>
          <w:color w:val="000000" w:themeColor="text1"/>
          <w:sz w:val="24"/>
          <w:szCs w:val="24"/>
        </w:rPr>
        <w:t xml:space="preserve"> section </w:t>
      </w:r>
      <w:r>
        <w:rPr>
          <w:rFonts w:ascii="Times New Roman" w:hAnsi="Times New Roman" w:cs="Times New Roman"/>
          <w:b w:val="0"/>
          <w:color w:val="000000" w:themeColor="text1"/>
          <w:sz w:val="24"/>
          <w:szCs w:val="24"/>
        </w:rPr>
        <w:t>being</w:t>
      </w:r>
      <w:r w:rsidR="001E3E7B" w:rsidRPr="008E1356">
        <w:rPr>
          <w:rFonts w:ascii="Times New Roman" w:hAnsi="Times New Roman" w:cs="Times New Roman"/>
          <w:b w:val="0"/>
          <w:color w:val="000000" w:themeColor="text1"/>
          <w:sz w:val="24"/>
          <w:szCs w:val="24"/>
        </w:rPr>
        <w:t xml:space="preserve"> split into two.  One Director was to oversee the disclosure and party registration functions, with a second Director responsible for the payment of election funding following a federal election and the administration of section 316.</w:t>
      </w:r>
      <w:bookmarkEnd w:id="143"/>
    </w:p>
    <w:p w:rsidR="00880A51" w:rsidRPr="00880A51" w:rsidRDefault="00880A51" w:rsidP="00880A51">
      <w:pPr>
        <w:pStyle w:val="Heading2"/>
        <w:rPr>
          <w:rFonts w:ascii="Times New Roman" w:hAnsi="Times New Roman" w:cs="Times New Roman"/>
          <w:color w:val="auto"/>
        </w:rPr>
      </w:pPr>
      <w:r w:rsidRPr="00880A51">
        <w:rPr>
          <w:rFonts w:ascii="Times New Roman" w:hAnsi="Times New Roman" w:cs="Times New Roman"/>
          <w:color w:val="auto"/>
        </w:rPr>
        <w:t>Current situation</w:t>
      </w:r>
    </w:p>
    <w:p w:rsidR="00880A51" w:rsidRDefault="001E3E7B" w:rsidP="00880A51">
      <w:pPr>
        <w:pStyle w:val="Heading2"/>
        <w:numPr>
          <w:ilvl w:val="1"/>
          <w:numId w:val="28"/>
        </w:numPr>
        <w:ind w:left="567" w:hanging="567"/>
        <w:rPr>
          <w:rFonts w:ascii="Times New Roman" w:hAnsi="Times New Roman" w:cs="Times New Roman"/>
          <w:b w:val="0"/>
          <w:color w:val="auto"/>
          <w:sz w:val="24"/>
          <w:szCs w:val="24"/>
        </w:rPr>
      </w:pPr>
      <w:r w:rsidRPr="00880A51">
        <w:rPr>
          <w:rFonts w:ascii="Times New Roman" w:hAnsi="Times New Roman" w:cs="Times New Roman"/>
          <w:b w:val="0"/>
          <w:color w:val="auto"/>
          <w:sz w:val="24"/>
          <w:szCs w:val="24"/>
        </w:rPr>
        <w:t xml:space="preserve">While the division of responsibilities has proven to be effective in providing two separate directors with a more manageable set of responsibilities, </w:t>
      </w:r>
      <w:r w:rsidR="000372CA" w:rsidRPr="00880A51">
        <w:rPr>
          <w:rFonts w:ascii="Times New Roman" w:hAnsi="Times New Roman" w:cs="Times New Roman"/>
          <w:b w:val="0"/>
          <w:color w:val="auto"/>
          <w:sz w:val="24"/>
          <w:szCs w:val="24"/>
        </w:rPr>
        <w:t>the way in which the section has developed has rendered</w:t>
      </w:r>
      <w:r w:rsidRPr="00880A51">
        <w:rPr>
          <w:rFonts w:ascii="Times New Roman" w:hAnsi="Times New Roman" w:cs="Times New Roman"/>
          <w:b w:val="0"/>
          <w:color w:val="auto"/>
          <w:sz w:val="24"/>
          <w:szCs w:val="24"/>
        </w:rPr>
        <w:t xml:space="preserve"> the </w:t>
      </w:r>
      <w:r w:rsidR="000372CA" w:rsidRPr="00880A51">
        <w:rPr>
          <w:rFonts w:ascii="Times New Roman" w:hAnsi="Times New Roman" w:cs="Times New Roman"/>
          <w:b w:val="0"/>
          <w:color w:val="auto"/>
          <w:sz w:val="24"/>
          <w:szCs w:val="24"/>
        </w:rPr>
        <w:t>conceptual linkage between the functions</w:t>
      </w:r>
      <w:r w:rsidRPr="00880A51">
        <w:rPr>
          <w:rFonts w:ascii="Times New Roman" w:hAnsi="Times New Roman" w:cs="Times New Roman"/>
          <w:b w:val="0"/>
          <w:color w:val="auto"/>
          <w:sz w:val="24"/>
          <w:szCs w:val="24"/>
        </w:rPr>
        <w:t xml:space="preserve"> increasingly difficult to maintain in its administration.  </w:t>
      </w:r>
      <w:r w:rsidR="000372CA" w:rsidRPr="00880A51">
        <w:rPr>
          <w:rFonts w:ascii="Times New Roman" w:hAnsi="Times New Roman" w:cs="Times New Roman"/>
          <w:b w:val="0"/>
          <w:color w:val="auto"/>
          <w:sz w:val="24"/>
          <w:szCs w:val="24"/>
        </w:rPr>
        <w:t>The</w:t>
      </w:r>
      <w:r w:rsidRPr="00880A51">
        <w:rPr>
          <w:rFonts w:ascii="Times New Roman" w:hAnsi="Times New Roman" w:cs="Times New Roman"/>
          <w:b w:val="0"/>
          <w:color w:val="auto"/>
          <w:sz w:val="24"/>
          <w:szCs w:val="24"/>
        </w:rPr>
        <w:t xml:space="preserve"> relationship between the disclosure and compliance areas, as well as the overall relationship with the party registration area has become weaker over time</w:t>
      </w:r>
      <w:r w:rsidR="00F3210E" w:rsidRPr="00880A51">
        <w:rPr>
          <w:rFonts w:ascii="Times New Roman" w:hAnsi="Times New Roman" w:cs="Times New Roman"/>
          <w:b w:val="0"/>
          <w:color w:val="auto"/>
          <w:sz w:val="24"/>
          <w:szCs w:val="24"/>
        </w:rPr>
        <w:t>.</w:t>
      </w:r>
      <w:r w:rsidR="00EE0D05" w:rsidRPr="00880A51">
        <w:rPr>
          <w:rStyle w:val="FootnoteReference"/>
          <w:rFonts w:ascii="Times New Roman" w:hAnsi="Times New Roman" w:cs="Times New Roman"/>
          <w:b w:val="0"/>
          <w:color w:val="auto"/>
          <w:sz w:val="24"/>
          <w:szCs w:val="24"/>
        </w:rPr>
        <w:footnoteReference w:id="47"/>
      </w:r>
    </w:p>
    <w:p w:rsidR="00880A51" w:rsidRPr="00880A51" w:rsidRDefault="00880A51" w:rsidP="00880A51"/>
    <w:p w:rsidR="001E3E7B" w:rsidRPr="00947AF2" w:rsidRDefault="001E3E7B" w:rsidP="00947AF2">
      <w:pPr>
        <w:pStyle w:val="Heading2"/>
        <w:numPr>
          <w:ilvl w:val="1"/>
          <w:numId w:val="28"/>
        </w:numPr>
        <w:ind w:left="567" w:hanging="567"/>
        <w:rPr>
          <w:rFonts w:ascii="Times New Roman" w:hAnsi="Times New Roman" w:cs="Times New Roman"/>
          <w:b w:val="0"/>
          <w:color w:val="000000" w:themeColor="text1"/>
          <w:sz w:val="24"/>
          <w:szCs w:val="24"/>
        </w:rPr>
      </w:pPr>
      <w:bookmarkStart w:id="144" w:name="_Toc339540991"/>
      <w:r w:rsidRPr="008E1356">
        <w:rPr>
          <w:rFonts w:ascii="Times New Roman" w:hAnsi="Times New Roman" w:cs="Times New Roman"/>
          <w:b w:val="0"/>
          <w:color w:val="000000" w:themeColor="text1"/>
          <w:sz w:val="24"/>
          <w:szCs w:val="24"/>
        </w:rPr>
        <w:lastRenderedPageBreak/>
        <w:t>The lack of integration in the FAD section as a whole is attributable to a number of interrelated hi</w:t>
      </w:r>
      <w:r w:rsidR="00947AF2">
        <w:rPr>
          <w:rFonts w:ascii="Times New Roman" w:hAnsi="Times New Roman" w:cs="Times New Roman"/>
          <w:b w:val="0"/>
          <w:color w:val="000000" w:themeColor="text1"/>
          <w:sz w:val="24"/>
          <w:szCs w:val="24"/>
        </w:rPr>
        <w:t>storical and other factors.</w:t>
      </w:r>
      <w:r w:rsidRPr="008E1356">
        <w:rPr>
          <w:rFonts w:ascii="Times New Roman" w:hAnsi="Times New Roman" w:cs="Times New Roman"/>
          <w:b w:val="0"/>
          <w:color w:val="000000" w:themeColor="text1"/>
          <w:sz w:val="24"/>
          <w:szCs w:val="24"/>
        </w:rPr>
        <w:t xml:space="preserve"> </w:t>
      </w:r>
      <w:r w:rsidR="00947AF2">
        <w:rPr>
          <w:rFonts w:ascii="Times New Roman" w:hAnsi="Times New Roman" w:cs="Times New Roman"/>
          <w:b w:val="0"/>
          <w:color w:val="000000" w:themeColor="text1"/>
          <w:sz w:val="24"/>
          <w:szCs w:val="24"/>
        </w:rPr>
        <w:t xml:space="preserve"> </w:t>
      </w:r>
      <w:r w:rsidRPr="00947AF2">
        <w:rPr>
          <w:rFonts w:ascii="Times New Roman" w:hAnsi="Times New Roman" w:cs="Times New Roman"/>
          <w:b w:val="0"/>
          <w:color w:val="000000" w:themeColor="text1"/>
          <w:sz w:val="24"/>
          <w:szCs w:val="24"/>
        </w:rPr>
        <w:t>FAD staff indicated that the</w:t>
      </w:r>
      <w:r w:rsidR="00DF7D4E" w:rsidRPr="00947AF2">
        <w:rPr>
          <w:rFonts w:ascii="Times New Roman" w:hAnsi="Times New Roman" w:cs="Times New Roman"/>
          <w:b w:val="0"/>
          <w:color w:val="000000" w:themeColor="text1"/>
          <w:sz w:val="24"/>
          <w:szCs w:val="24"/>
        </w:rPr>
        <w:t xml:space="preserve"> extent</w:t>
      </w:r>
      <w:r w:rsidRPr="00947AF2">
        <w:rPr>
          <w:rFonts w:ascii="Times New Roman" w:hAnsi="Times New Roman" w:cs="Times New Roman"/>
          <w:b w:val="0"/>
          <w:color w:val="000000" w:themeColor="text1"/>
          <w:sz w:val="24"/>
          <w:szCs w:val="24"/>
        </w:rPr>
        <w:t xml:space="preserve"> to which the whole section worked together and interacted with each other did decline when the areas moved in 2010.  For example, regular whole of section meetings with standing and other items on the agenda used to take place, as well as other joint social activities.  Conversations between staff in the two areas were also more frequent.  A number of staff stated that currently, conversations between staff in the areas were increasingly infrequent and tended to only take place where an error or omission had already occurred.</w:t>
      </w:r>
      <w:bookmarkEnd w:id="144"/>
      <w:r w:rsidRPr="00947AF2">
        <w:rPr>
          <w:rFonts w:ascii="Times New Roman" w:hAnsi="Times New Roman" w:cs="Times New Roman"/>
          <w:b w:val="0"/>
          <w:color w:val="000000" w:themeColor="text1"/>
          <w:sz w:val="24"/>
          <w:szCs w:val="24"/>
        </w:rPr>
        <w:t xml:space="preserve">  </w:t>
      </w:r>
    </w:p>
    <w:p w:rsidR="001E3E7B" w:rsidRPr="008E1356"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45" w:name="_Toc339540992"/>
      <w:r w:rsidRPr="008E1356">
        <w:rPr>
          <w:rFonts w:ascii="Times New Roman" w:hAnsi="Times New Roman" w:cs="Times New Roman"/>
          <w:b w:val="0"/>
          <w:color w:val="000000" w:themeColor="text1"/>
          <w:sz w:val="24"/>
          <w:szCs w:val="24"/>
        </w:rPr>
        <w:t>The Directors overseeing each area felt that they did collaborate where this was warranted, but acknowledged that many staff would seek more and better collaboration between the two areas.  One Director also indicated that there was frequent poor communication between the areas from the EL 2 level and down, and this was particularly likely to occur where there was disagreement between the two Directors on a particular matter.</w:t>
      </w:r>
      <w:bookmarkEnd w:id="145"/>
      <w:r w:rsidRPr="008E1356">
        <w:rPr>
          <w:rFonts w:ascii="Times New Roman" w:hAnsi="Times New Roman" w:cs="Times New Roman"/>
          <w:b w:val="0"/>
          <w:color w:val="000000" w:themeColor="text1"/>
          <w:sz w:val="24"/>
          <w:szCs w:val="24"/>
        </w:rPr>
        <w:t xml:space="preserve">  </w:t>
      </w:r>
    </w:p>
    <w:p w:rsidR="00F54B1E" w:rsidRPr="00F54B1E" w:rsidRDefault="001E3E7B" w:rsidP="00F54B1E">
      <w:pPr>
        <w:pStyle w:val="Heading2"/>
        <w:numPr>
          <w:ilvl w:val="1"/>
          <w:numId w:val="28"/>
        </w:numPr>
        <w:ind w:left="567" w:hanging="567"/>
        <w:rPr>
          <w:rFonts w:ascii="Times New Roman" w:hAnsi="Times New Roman" w:cs="Times New Roman"/>
          <w:b w:val="0"/>
          <w:color w:val="000000" w:themeColor="text1"/>
          <w:sz w:val="24"/>
          <w:szCs w:val="24"/>
        </w:rPr>
      </w:pPr>
      <w:bookmarkStart w:id="146" w:name="_Toc339540993"/>
      <w:r w:rsidRPr="008E1356">
        <w:rPr>
          <w:rFonts w:ascii="Times New Roman" w:hAnsi="Times New Roman" w:cs="Times New Roman"/>
          <w:b w:val="0"/>
          <w:color w:val="000000" w:themeColor="text1"/>
          <w:sz w:val="24"/>
          <w:szCs w:val="24"/>
        </w:rPr>
        <w:t xml:space="preserve">It is important to note that communication issues and lack of effective integration in the public sector between areas that need to work together is not uncommon. However, a more collaborative approach to administering Part XX of the Electoral Act between the different areas that comprise FAD will result in improved outcomes and increased efficiency in the conduct of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’s role in this area.</w:t>
      </w:r>
      <w:bookmarkEnd w:id="146"/>
    </w:p>
    <w:p w:rsidR="00F54B1E" w:rsidRPr="00F54B1E" w:rsidRDefault="00F54B1E" w:rsidP="00F54B1E">
      <w:pPr>
        <w:pStyle w:val="Heading2"/>
        <w:rPr>
          <w:rFonts w:ascii="Times New Roman" w:hAnsi="Times New Roman" w:cs="Times New Roman"/>
          <w:color w:val="auto"/>
        </w:rPr>
      </w:pPr>
      <w:r w:rsidRPr="00F54B1E">
        <w:rPr>
          <w:rFonts w:ascii="Times New Roman" w:hAnsi="Times New Roman" w:cs="Times New Roman"/>
          <w:color w:val="auto"/>
        </w:rPr>
        <w:t>Suggestions for increased integration between the three FAD functions: a strategic purpose and section objectives</w:t>
      </w:r>
    </w:p>
    <w:p w:rsidR="001E3E7B" w:rsidRPr="00F54B1E" w:rsidRDefault="00DF7D4E" w:rsidP="00F54B1E">
      <w:pPr>
        <w:pStyle w:val="Heading2"/>
        <w:numPr>
          <w:ilvl w:val="1"/>
          <w:numId w:val="28"/>
        </w:numPr>
        <w:ind w:left="567" w:hanging="567"/>
        <w:rPr>
          <w:rFonts w:ascii="Times New Roman" w:hAnsi="Times New Roman" w:cs="Times New Roman"/>
          <w:b w:val="0"/>
          <w:color w:val="auto"/>
        </w:rPr>
      </w:pPr>
      <w:r w:rsidRPr="00F54B1E">
        <w:rPr>
          <w:rFonts w:ascii="Times New Roman" w:hAnsi="Times New Roman" w:cs="Times New Roman"/>
          <w:b w:val="0"/>
          <w:color w:val="auto"/>
          <w:sz w:val="24"/>
          <w:szCs w:val="24"/>
        </w:rPr>
        <w:t>During</w:t>
      </w:r>
      <w:r w:rsidR="001E3E7B" w:rsidRPr="00F54B1E">
        <w:rPr>
          <w:rFonts w:ascii="Times New Roman" w:hAnsi="Times New Roman" w:cs="Times New Roman"/>
          <w:b w:val="0"/>
          <w:color w:val="auto"/>
          <w:sz w:val="24"/>
          <w:szCs w:val="24"/>
        </w:rPr>
        <w:t xml:space="preserve"> the course of the review, staff stated that they felt at times as though they were operating in a ‘vacuum’ with no overall aim or objective guiding their work or providing them with a clear sense of purpose and direction. </w:t>
      </w:r>
    </w:p>
    <w:p w:rsidR="008D154E" w:rsidRDefault="001E3E7B" w:rsidP="008D154E">
      <w:pPr>
        <w:pStyle w:val="Heading2"/>
        <w:numPr>
          <w:ilvl w:val="1"/>
          <w:numId w:val="28"/>
        </w:numPr>
        <w:ind w:left="567" w:hanging="567"/>
        <w:rPr>
          <w:rFonts w:ascii="Times New Roman" w:hAnsi="Times New Roman" w:cs="Times New Roman"/>
          <w:b w:val="0"/>
          <w:color w:val="000000" w:themeColor="text1"/>
          <w:sz w:val="24"/>
          <w:szCs w:val="24"/>
        </w:rPr>
      </w:pPr>
      <w:bookmarkStart w:id="147" w:name="_Toc339540995"/>
      <w:r w:rsidRPr="008E1356">
        <w:rPr>
          <w:rFonts w:ascii="Times New Roman" w:hAnsi="Times New Roman" w:cs="Times New Roman"/>
          <w:b w:val="0"/>
          <w:color w:val="000000" w:themeColor="text1"/>
          <w:sz w:val="24"/>
          <w:szCs w:val="24"/>
        </w:rPr>
        <w:t xml:space="preserve">Administration of the Commonwealth disclosure and compliance scheme is an inherently complex task, given the nature of the introduction of that scheme.  The financial disclosure and compliance scheme was introduced as a ‘corollary’ to the introduction of public funding, but there was little elucidation of the purpose and objectives beyond it being a necessary accountability for those that </w:t>
      </w:r>
      <w:r w:rsidR="00B015DE">
        <w:rPr>
          <w:rFonts w:ascii="Times New Roman" w:hAnsi="Times New Roman" w:cs="Times New Roman"/>
          <w:b w:val="0"/>
          <w:color w:val="000000" w:themeColor="text1"/>
          <w:sz w:val="24"/>
          <w:szCs w:val="24"/>
        </w:rPr>
        <w:t>were to receive public money.  In more recent times t</w:t>
      </w:r>
      <w:r w:rsidRPr="008E1356">
        <w:rPr>
          <w:rFonts w:ascii="Times New Roman" w:hAnsi="Times New Roman" w:cs="Times New Roman"/>
          <w:b w:val="0"/>
          <w:color w:val="000000" w:themeColor="text1"/>
          <w:sz w:val="24"/>
          <w:szCs w:val="24"/>
        </w:rPr>
        <w:t>he compliance section of FAD has defined its own purpose to guide its administration of the legislation in the following terms:</w:t>
      </w:r>
      <w:bookmarkEnd w:id="147"/>
    </w:p>
    <w:p w:rsidR="0044574E" w:rsidRPr="0044574E" w:rsidRDefault="0044574E" w:rsidP="0044574E">
      <w:pPr>
        <w:spacing w:after="0"/>
      </w:pPr>
    </w:p>
    <w:p w:rsidR="001E3E7B" w:rsidRPr="008E1356" w:rsidRDefault="001E3E7B" w:rsidP="005F45F1">
      <w:pPr>
        <w:ind w:left="1440"/>
        <w:rPr>
          <w:rFonts w:ascii="Times New Roman" w:hAnsi="Times New Roman" w:cs="Times New Roman"/>
          <w:i/>
          <w:color w:val="000000" w:themeColor="text1"/>
          <w:sz w:val="24"/>
          <w:szCs w:val="24"/>
        </w:rPr>
      </w:pPr>
      <w:r w:rsidRPr="008E1356">
        <w:rPr>
          <w:rFonts w:ascii="Times New Roman" w:hAnsi="Times New Roman" w:cs="Times New Roman"/>
          <w:bCs/>
          <w:i/>
          <w:color w:val="000000" w:themeColor="text1"/>
          <w:sz w:val="24"/>
          <w:szCs w:val="24"/>
        </w:rPr>
        <w:t>Helping guard against corruption by requiring those involved in the political process to publicly discl</w:t>
      </w:r>
      <w:r w:rsidR="000372CA" w:rsidRPr="008E1356">
        <w:rPr>
          <w:rFonts w:ascii="Times New Roman" w:hAnsi="Times New Roman" w:cs="Times New Roman"/>
          <w:bCs/>
          <w:i/>
          <w:color w:val="000000" w:themeColor="text1"/>
          <w:sz w:val="24"/>
          <w:szCs w:val="24"/>
        </w:rPr>
        <w:t>ose relevant financial dealings</w:t>
      </w:r>
    </w:p>
    <w:p w:rsidR="00954EDF" w:rsidRDefault="001E3E7B" w:rsidP="00797A62">
      <w:pPr>
        <w:pStyle w:val="Heading2"/>
        <w:numPr>
          <w:ilvl w:val="1"/>
          <w:numId w:val="28"/>
        </w:numPr>
        <w:ind w:left="567" w:hanging="567"/>
        <w:rPr>
          <w:rFonts w:ascii="Times New Roman" w:hAnsi="Times New Roman" w:cs="Times New Roman"/>
          <w:b w:val="0"/>
          <w:color w:val="000000" w:themeColor="text1"/>
          <w:sz w:val="24"/>
          <w:szCs w:val="24"/>
        </w:rPr>
      </w:pPr>
      <w:bookmarkStart w:id="148" w:name="_Toc339540996"/>
      <w:r w:rsidRPr="008E1356">
        <w:rPr>
          <w:rFonts w:ascii="Times New Roman" w:hAnsi="Times New Roman" w:cs="Times New Roman"/>
          <w:b w:val="0"/>
          <w:color w:val="000000" w:themeColor="text1"/>
          <w:sz w:val="24"/>
          <w:szCs w:val="24"/>
        </w:rPr>
        <w:t>Along these lines, the whole FAD section should work towards de</w:t>
      </w:r>
      <w:r w:rsidR="00BF1C54" w:rsidRPr="008E1356">
        <w:rPr>
          <w:rFonts w:ascii="Times New Roman" w:hAnsi="Times New Roman" w:cs="Times New Roman"/>
          <w:b w:val="0"/>
          <w:color w:val="000000" w:themeColor="text1"/>
          <w:sz w:val="24"/>
          <w:szCs w:val="24"/>
        </w:rPr>
        <w:t>fining</w:t>
      </w:r>
      <w:r w:rsidRPr="008E1356">
        <w:rPr>
          <w:rFonts w:ascii="Times New Roman" w:hAnsi="Times New Roman" w:cs="Times New Roman"/>
          <w:b w:val="0"/>
          <w:color w:val="000000" w:themeColor="text1"/>
          <w:sz w:val="24"/>
          <w:szCs w:val="24"/>
        </w:rPr>
        <w:t xml:space="preserve"> its own strategic purpose and objectives to complement the legislative purpose the compliance area has developed</w:t>
      </w:r>
      <w:r w:rsidR="000372CA" w:rsidRPr="008E1356">
        <w:rPr>
          <w:rFonts w:ascii="Times New Roman" w:hAnsi="Times New Roman" w:cs="Times New Roman"/>
          <w:b w:val="0"/>
          <w:color w:val="000000" w:themeColor="text1"/>
          <w:sz w:val="24"/>
          <w:szCs w:val="24"/>
        </w:rPr>
        <w:t xml:space="preserve"> for approval at Executive level</w:t>
      </w:r>
      <w:r w:rsidRPr="008E1356">
        <w:rPr>
          <w:rFonts w:ascii="Times New Roman" w:hAnsi="Times New Roman" w:cs="Times New Roman"/>
          <w:b w:val="0"/>
          <w:color w:val="000000" w:themeColor="text1"/>
          <w:sz w:val="24"/>
          <w:szCs w:val="24"/>
        </w:rPr>
        <w:t xml:space="preserve">.  </w:t>
      </w:r>
    </w:p>
    <w:p w:rsidR="00954EDF" w:rsidRPr="00954EDF" w:rsidRDefault="00954EDF" w:rsidP="00954EDF"/>
    <w:p w:rsidR="00797A62" w:rsidRPr="00797A62" w:rsidRDefault="00BF1C54" w:rsidP="00797A62">
      <w:pPr>
        <w:pStyle w:val="Heading2"/>
        <w:numPr>
          <w:ilvl w:val="1"/>
          <w:numId w:val="28"/>
        </w:numPr>
        <w:ind w:left="567" w:hanging="567"/>
        <w:rPr>
          <w:rFonts w:ascii="Times New Roman" w:hAnsi="Times New Roman" w:cs="Times New Roman"/>
          <w:b w:val="0"/>
          <w:color w:val="000000" w:themeColor="text1"/>
          <w:sz w:val="24"/>
          <w:szCs w:val="24"/>
        </w:rPr>
      </w:pPr>
      <w:r w:rsidRPr="008E1356">
        <w:rPr>
          <w:rFonts w:ascii="Times New Roman" w:hAnsi="Times New Roman" w:cs="Times New Roman"/>
          <w:b w:val="0"/>
          <w:color w:val="000000" w:themeColor="text1"/>
          <w:sz w:val="24"/>
          <w:szCs w:val="24"/>
        </w:rPr>
        <w:lastRenderedPageBreak/>
        <w:t xml:space="preserve">In order to effectively provide a sense of purpose and direction to those that work within it, a strategic purpose and set of objectives need to be devised and agreed to by the staff in the area.  </w:t>
      </w:r>
      <w:r w:rsidR="001E3E7B" w:rsidRPr="008E1356">
        <w:rPr>
          <w:rFonts w:ascii="Times New Roman" w:hAnsi="Times New Roman" w:cs="Times New Roman"/>
          <w:b w:val="0"/>
          <w:color w:val="000000" w:themeColor="text1"/>
          <w:sz w:val="24"/>
          <w:szCs w:val="24"/>
        </w:rPr>
        <w:t>It is important that the strategic purpose capture all functions performed by the FAD area</w:t>
      </w:r>
      <w:r w:rsidR="00CF700C" w:rsidRPr="008E1356">
        <w:rPr>
          <w:rFonts w:ascii="Times New Roman" w:hAnsi="Times New Roman" w:cs="Times New Roman"/>
          <w:b w:val="0"/>
          <w:color w:val="000000" w:themeColor="text1"/>
          <w:sz w:val="24"/>
          <w:szCs w:val="24"/>
        </w:rPr>
        <w:t xml:space="preserve"> and that its role within the agency as a whole is also </w:t>
      </w:r>
      <w:r w:rsidR="0089354D">
        <w:rPr>
          <w:rFonts w:ascii="Times New Roman" w:hAnsi="Times New Roman" w:cs="Times New Roman"/>
          <w:b w:val="0"/>
          <w:color w:val="000000" w:themeColor="text1"/>
          <w:sz w:val="24"/>
          <w:szCs w:val="24"/>
        </w:rPr>
        <w:t>determined and stated</w:t>
      </w:r>
      <w:r w:rsidR="001E3E7B" w:rsidRPr="008E1356">
        <w:rPr>
          <w:rFonts w:ascii="Times New Roman" w:hAnsi="Times New Roman" w:cs="Times New Roman"/>
          <w:b w:val="0"/>
          <w:color w:val="000000" w:themeColor="text1"/>
          <w:sz w:val="24"/>
          <w:szCs w:val="24"/>
        </w:rPr>
        <w:t>.</w:t>
      </w:r>
      <w:bookmarkEnd w:id="148"/>
      <w:r w:rsidR="00CF700C" w:rsidRPr="008E1356">
        <w:rPr>
          <w:rFonts w:ascii="Times New Roman" w:hAnsi="Times New Roman" w:cs="Times New Roman"/>
          <w:b w:val="0"/>
          <w:color w:val="000000" w:themeColor="text1"/>
          <w:sz w:val="24"/>
          <w:szCs w:val="24"/>
        </w:rPr>
        <w:t xml:space="preserve">  </w:t>
      </w:r>
    </w:p>
    <w:p w:rsidR="001E3E7B" w:rsidRPr="008E1356"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49" w:name="_Toc339540997"/>
      <w:r w:rsidRPr="008E1356">
        <w:rPr>
          <w:rFonts w:ascii="Times New Roman" w:hAnsi="Times New Roman" w:cs="Times New Roman"/>
          <w:b w:val="0"/>
          <w:color w:val="000000" w:themeColor="text1"/>
          <w:sz w:val="24"/>
          <w:szCs w:val="24"/>
        </w:rPr>
        <w:t xml:space="preserve">To assist this process the review has developed a possible approach </w:t>
      </w:r>
      <w:r w:rsidR="00D15C37" w:rsidRPr="008E1356">
        <w:rPr>
          <w:rFonts w:ascii="Times New Roman" w:hAnsi="Times New Roman" w:cs="Times New Roman"/>
          <w:b w:val="0"/>
          <w:color w:val="000000" w:themeColor="text1"/>
          <w:sz w:val="24"/>
          <w:szCs w:val="24"/>
        </w:rPr>
        <w:t>as</w:t>
      </w:r>
      <w:r w:rsidRPr="008E1356">
        <w:rPr>
          <w:rFonts w:ascii="Times New Roman" w:hAnsi="Times New Roman" w:cs="Times New Roman"/>
          <w:b w:val="0"/>
          <w:color w:val="000000" w:themeColor="text1"/>
          <w:sz w:val="24"/>
          <w:szCs w:val="24"/>
        </w:rPr>
        <w:t xml:space="preserve"> follows:</w:t>
      </w:r>
      <w:bookmarkEnd w:id="149"/>
    </w:p>
    <w:p w:rsidR="00B015DE" w:rsidRDefault="00B015DE" w:rsidP="00B015DE">
      <w:pPr>
        <w:spacing w:after="0"/>
        <w:ind w:left="567"/>
        <w:rPr>
          <w:rFonts w:ascii="Times New Roman" w:hAnsi="Times New Roman" w:cs="Times New Roman"/>
          <w:sz w:val="24"/>
          <w:szCs w:val="24"/>
        </w:rPr>
      </w:pPr>
    </w:p>
    <w:p w:rsidR="001E3E7B" w:rsidRPr="00210992" w:rsidRDefault="00DC03F4" w:rsidP="001970E2">
      <w:pPr>
        <w:ind w:left="567"/>
        <w:rPr>
          <w:rFonts w:ascii="Times New Roman" w:hAnsi="Times New Roman" w:cs="Times New Roman"/>
          <w:sz w:val="24"/>
          <w:szCs w:val="24"/>
        </w:rPr>
      </w:pPr>
      <w:r>
        <w:rPr>
          <w:rFonts w:ascii="Times New Roman" w:hAnsi="Times New Roman" w:cs="Times New Roman"/>
          <w:sz w:val="24"/>
          <w:szCs w:val="24"/>
        </w:rPr>
        <w:t xml:space="preserve">[The purpose of FAD is] </w:t>
      </w:r>
      <w:r w:rsidR="001E3E7B" w:rsidRPr="00210992">
        <w:rPr>
          <w:rFonts w:ascii="Times New Roman" w:hAnsi="Times New Roman" w:cs="Times New Roman"/>
          <w:sz w:val="24"/>
          <w:szCs w:val="24"/>
        </w:rPr>
        <w:t xml:space="preserve">To play a role in guarding against corruption and the exercise of undue influence in </w:t>
      </w:r>
      <w:r w:rsidR="00D15C37">
        <w:rPr>
          <w:rFonts w:ascii="Times New Roman" w:hAnsi="Times New Roman" w:cs="Times New Roman"/>
          <w:sz w:val="24"/>
          <w:szCs w:val="24"/>
        </w:rPr>
        <w:t>the electoral and democratic process</w:t>
      </w:r>
      <w:r w:rsidR="001E3E7B" w:rsidRPr="00210992">
        <w:rPr>
          <w:rFonts w:ascii="Times New Roman" w:hAnsi="Times New Roman" w:cs="Times New Roman"/>
          <w:sz w:val="24"/>
          <w:szCs w:val="24"/>
        </w:rPr>
        <w:t xml:space="preserve"> </w:t>
      </w:r>
      <w:r w:rsidR="00D15C37">
        <w:rPr>
          <w:rFonts w:ascii="Times New Roman" w:hAnsi="Times New Roman" w:cs="Times New Roman"/>
          <w:sz w:val="24"/>
          <w:szCs w:val="24"/>
        </w:rPr>
        <w:t xml:space="preserve">and contribute to creating an informed and aware electorate by </w:t>
      </w:r>
      <w:r w:rsidR="001E3E7B" w:rsidRPr="00210992">
        <w:rPr>
          <w:rFonts w:ascii="Times New Roman" w:hAnsi="Times New Roman" w:cs="Times New Roman"/>
          <w:sz w:val="24"/>
          <w:szCs w:val="24"/>
        </w:rPr>
        <w:t>adminis</w:t>
      </w:r>
      <w:r w:rsidR="00CF700C">
        <w:rPr>
          <w:rFonts w:ascii="Times New Roman" w:hAnsi="Times New Roman" w:cs="Times New Roman"/>
          <w:sz w:val="24"/>
          <w:szCs w:val="24"/>
        </w:rPr>
        <w:t xml:space="preserve">tering a disclosure scheme that </w:t>
      </w:r>
      <w:r w:rsidR="001E3E7B" w:rsidRPr="00210992">
        <w:rPr>
          <w:rFonts w:ascii="Times New Roman" w:hAnsi="Times New Roman" w:cs="Times New Roman"/>
          <w:sz w:val="24"/>
          <w:szCs w:val="24"/>
        </w:rPr>
        <w:t xml:space="preserve">ensures relevant </w:t>
      </w:r>
      <w:r w:rsidR="00D15C37">
        <w:rPr>
          <w:rFonts w:ascii="Times New Roman" w:hAnsi="Times New Roman" w:cs="Times New Roman"/>
          <w:sz w:val="24"/>
          <w:szCs w:val="24"/>
        </w:rPr>
        <w:t xml:space="preserve">political </w:t>
      </w:r>
      <w:r w:rsidR="001E3E7B" w:rsidRPr="00210992">
        <w:rPr>
          <w:rFonts w:ascii="Times New Roman" w:hAnsi="Times New Roman" w:cs="Times New Roman"/>
          <w:sz w:val="24"/>
          <w:szCs w:val="24"/>
        </w:rPr>
        <w:t>financial dealings are transparent by:</w:t>
      </w:r>
    </w:p>
    <w:p w:rsidR="001E3E7B" w:rsidRPr="00210992" w:rsidRDefault="001E3E7B" w:rsidP="001E3E7B">
      <w:pPr>
        <w:pStyle w:val="ListParagraph"/>
        <w:numPr>
          <w:ilvl w:val="0"/>
          <w:numId w:val="7"/>
        </w:numPr>
        <w:spacing w:line="240" w:lineRule="auto"/>
        <w:rPr>
          <w:rFonts w:ascii="Times New Roman" w:hAnsi="Times New Roman" w:cs="Times New Roman"/>
          <w:sz w:val="24"/>
          <w:szCs w:val="24"/>
        </w:rPr>
      </w:pPr>
      <w:r w:rsidRPr="00210992">
        <w:rPr>
          <w:rFonts w:ascii="Times New Roman" w:hAnsi="Times New Roman" w:cs="Times New Roman"/>
          <w:sz w:val="24"/>
          <w:szCs w:val="24"/>
        </w:rPr>
        <w:t>Maintaining an accurate Register of Political Parties and undertaking the process of recognition of state branches of political parties to act as a basis from which to determine which political parties have obligations to disclose relevant financial dealings</w:t>
      </w:r>
      <w:r w:rsidR="00F3210E">
        <w:rPr>
          <w:rFonts w:ascii="Times New Roman" w:hAnsi="Times New Roman" w:cs="Times New Roman"/>
          <w:sz w:val="24"/>
          <w:szCs w:val="24"/>
        </w:rPr>
        <w:t>;</w:t>
      </w:r>
      <w:r w:rsidR="00BF1C54">
        <w:rPr>
          <w:rStyle w:val="FootnoteReference"/>
          <w:rFonts w:ascii="Times New Roman" w:hAnsi="Times New Roman" w:cs="Times New Roman"/>
          <w:sz w:val="24"/>
          <w:szCs w:val="24"/>
        </w:rPr>
        <w:footnoteReference w:id="48"/>
      </w:r>
    </w:p>
    <w:p w:rsidR="001E3E7B" w:rsidRPr="00210992" w:rsidRDefault="001E3E7B" w:rsidP="001E3E7B">
      <w:pPr>
        <w:pStyle w:val="ListParagraph"/>
        <w:ind w:left="1440"/>
        <w:rPr>
          <w:rFonts w:ascii="Times New Roman" w:hAnsi="Times New Roman" w:cs="Times New Roman"/>
          <w:sz w:val="24"/>
          <w:szCs w:val="24"/>
        </w:rPr>
      </w:pPr>
    </w:p>
    <w:p w:rsidR="001E3E7B" w:rsidRPr="00210992" w:rsidRDefault="001E3E7B" w:rsidP="001E3E7B">
      <w:pPr>
        <w:pStyle w:val="ListParagraph"/>
        <w:numPr>
          <w:ilvl w:val="0"/>
          <w:numId w:val="7"/>
        </w:numPr>
        <w:spacing w:line="240" w:lineRule="auto"/>
        <w:rPr>
          <w:rFonts w:ascii="Times New Roman" w:hAnsi="Times New Roman" w:cs="Times New Roman"/>
          <w:sz w:val="24"/>
          <w:szCs w:val="24"/>
        </w:rPr>
      </w:pPr>
      <w:r w:rsidRPr="00210992">
        <w:rPr>
          <w:rFonts w:ascii="Times New Roman" w:hAnsi="Times New Roman" w:cs="Times New Roman"/>
          <w:sz w:val="24"/>
          <w:szCs w:val="24"/>
        </w:rPr>
        <w:t>Playing a proactive role to ensure that all participants in the democratic process that have a legislative obligation to disclose particular financial dealings are aware of the nature of the obligation; the ways by which they meet the obligation and the consequences if they fail to meet the obligation;</w:t>
      </w:r>
    </w:p>
    <w:p w:rsidR="001E3E7B" w:rsidRPr="00210992" w:rsidRDefault="001E3E7B" w:rsidP="001E3E7B">
      <w:pPr>
        <w:pStyle w:val="ListParagraph"/>
        <w:rPr>
          <w:rFonts w:ascii="Times New Roman" w:hAnsi="Times New Roman" w:cs="Times New Roman"/>
          <w:sz w:val="24"/>
          <w:szCs w:val="24"/>
        </w:rPr>
      </w:pPr>
    </w:p>
    <w:p w:rsidR="001E3E7B" w:rsidRPr="00210992" w:rsidRDefault="001E3E7B" w:rsidP="001E3E7B">
      <w:pPr>
        <w:pStyle w:val="ListParagraph"/>
        <w:numPr>
          <w:ilvl w:val="0"/>
          <w:numId w:val="7"/>
        </w:numPr>
        <w:spacing w:line="240" w:lineRule="auto"/>
        <w:rPr>
          <w:rFonts w:ascii="Times New Roman" w:hAnsi="Times New Roman" w:cs="Times New Roman"/>
          <w:sz w:val="24"/>
          <w:szCs w:val="24"/>
        </w:rPr>
      </w:pPr>
      <w:r w:rsidRPr="00210992">
        <w:rPr>
          <w:rFonts w:ascii="Times New Roman" w:hAnsi="Times New Roman" w:cs="Times New Roman"/>
          <w:sz w:val="24"/>
          <w:szCs w:val="24"/>
        </w:rPr>
        <w:t>Publicly releasing the required information on political financing by the statutory deadline in a manner that is widely accessible by and available to the community;</w:t>
      </w:r>
    </w:p>
    <w:p w:rsidR="001E3E7B" w:rsidRPr="00210992" w:rsidRDefault="001E3E7B" w:rsidP="001E3E7B">
      <w:pPr>
        <w:pStyle w:val="ListParagraph"/>
        <w:rPr>
          <w:rFonts w:ascii="Times New Roman" w:hAnsi="Times New Roman" w:cs="Times New Roman"/>
          <w:sz w:val="24"/>
          <w:szCs w:val="24"/>
        </w:rPr>
      </w:pPr>
    </w:p>
    <w:p w:rsidR="001E3E7B" w:rsidRPr="00210992" w:rsidRDefault="001E3E7B" w:rsidP="001E3E7B">
      <w:pPr>
        <w:pStyle w:val="ListParagraph"/>
        <w:numPr>
          <w:ilvl w:val="0"/>
          <w:numId w:val="7"/>
        </w:numPr>
        <w:spacing w:line="240" w:lineRule="auto"/>
        <w:rPr>
          <w:rFonts w:ascii="Times New Roman" w:hAnsi="Times New Roman" w:cs="Times New Roman"/>
          <w:sz w:val="24"/>
          <w:szCs w:val="24"/>
        </w:rPr>
      </w:pPr>
      <w:r w:rsidRPr="00210992">
        <w:rPr>
          <w:rFonts w:ascii="Times New Roman" w:hAnsi="Times New Roman" w:cs="Times New Roman"/>
          <w:sz w:val="24"/>
          <w:szCs w:val="24"/>
        </w:rPr>
        <w:t>Using the powers conferred in section 316 and sound risk assessment frameworks to conduct analysis of the financial records of political parties and associated entities, according to best practice methodologies in the auditing field to guarantee the accuracy and completeness of disclosure; and</w:t>
      </w:r>
    </w:p>
    <w:p w:rsidR="001E3E7B" w:rsidRPr="00210992" w:rsidRDefault="001E3E7B" w:rsidP="001E3E7B">
      <w:pPr>
        <w:pStyle w:val="ListParagraph"/>
        <w:rPr>
          <w:rFonts w:ascii="Times New Roman" w:hAnsi="Times New Roman" w:cs="Times New Roman"/>
          <w:sz w:val="24"/>
          <w:szCs w:val="24"/>
        </w:rPr>
      </w:pPr>
    </w:p>
    <w:p w:rsidR="001E3E7B" w:rsidRPr="00DF7D4E" w:rsidRDefault="001E3E7B" w:rsidP="00DF7D4E">
      <w:pPr>
        <w:pStyle w:val="ListParagraph"/>
        <w:numPr>
          <w:ilvl w:val="0"/>
          <w:numId w:val="7"/>
        </w:numPr>
        <w:spacing w:line="240" w:lineRule="auto"/>
        <w:rPr>
          <w:rFonts w:ascii="Times New Roman" w:hAnsi="Times New Roman" w:cs="Times New Roman"/>
          <w:sz w:val="24"/>
          <w:szCs w:val="24"/>
        </w:rPr>
      </w:pPr>
      <w:r w:rsidRPr="00210992">
        <w:rPr>
          <w:rFonts w:ascii="Times New Roman" w:hAnsi="Times New Roman" w:cs="Times New Roman"/>
          <w:sz w:val="24"/>
          <w:szCs w:val="24"/>
        </w:rPr>
        <w:t>Undertaking prosecution actions against those that commit an offence under</w:t>
      </w:r>
      <w:r w:rsidR="009B1EF3">
        <w:rPr>
          <w:rFonts w:ascii="Times New Roman" w:hAnsi="Times New Roman" w:cs="Times New Roman"/>
          <w:sz w:val="24"/>
          <w:szCs w:val="24"/>
        </w:rPr>
        <w:t xml:space="preserve"> Part XX of</w:t>
      </w:r>
      <w:r w:rsidRPr="00210992">
        <w:rPr>
          <w:rFonts w:ascii="Times New Roman" w:hAnsi="Times New Roman" w:cs="Times New Roman"/>
          <w:sz w:val="24"/>
          <w:szCs w:val="24"/>
        </w:rPr>
        <w:t xml:space="preserve"> the Electoral Act.</w:t>
      </w:r>
    </w:p>
    <w:p w:rsidR="001E3E7B" w:rsidRPr="00210992" w:rsidRDefault="001E3E7B" w:rsidP="001E3E7B">
      <w:pPr>
        <w:ind w:left="720"/>
        <w:rPr>
          <w:rFonts w:ascii="Times New Roman" w:hAnsi="Times New Roman" w:cs="Times New Roman"/>
          <w:sz w:val="24"/>
          <w:szCs w:val="24"/>
        </w:rPr>
      </w:pPr>
      <w:r w:rsidRPr="00210992">
        <w:rPr>
          <w:rFonts w:ascii="Times New Roman" w:hAnsi="Times New Roman" w:cs="Times New Roman"/>
          <w:sz w:val="24"/>
          <w:szCs w:val="24"/>
        </w:rPr>
        <w:t>During and following an election period, to:</w:t>
      </w:r>
    </w:p>
    <w:p w:rsidR="001E3E7B" w:rsidRPr="00210992" w:rsidRDefault="001E3E7B" w:rsidP="001E3E7B">
      <w:pPr>
        <w:pStyle w:val="ListParagraph"/>
        <w:numPr>
          <w:ilvl w:val="0"/>
          <w:numId w:val="8"/>
        </w:numPr>
        <w:spacing w:line="240" w:lineRule="auto"/>
        <w:rPr>
          <w:rFonts w:ascii="Times New Roman" w:hAnsi="Times New Roman" w:cs="Times New Roman"/>
          <w:sz w:val="24"/>
          <w:szCs w:val="24"/>
        </w:rPr>
      </w:pPr>
      <w:r w:rsidRPr="00210992">
        <w:rPr>
          <w:rFonts w:ascii="Times New Roman" w:hAnsi="Times New Roman" w:cs="Times New Roman"/>
          <w:sz w:val="24"/>
          <w:szCs w:val="24"/>
        </w:rPr>
        <w:t>Maintain an accurate Register of Political Parties;</w:t>
      </w:r>
    </w:p>
    <w:p w:rsidR="001E3E7B" w:rsidRPr="00210992" w:rsidRDefault="001E3E7B" w:rsidP="001E3E7B">
      <w:pPr>
        <w:pStyle w:val="ListParagraph"/>
        <w:ind w:left="1440"/>
        <w:rPr>
          <w:rFonts w:ascii="Times New Roman" w:hAnsi="Times New Roman" w:cs="Times New Roman"/>
          <w:sz w:val="24"/>
          <w:szCs w:val="24"/>
        </w:rPr>
      </w:pPr>
    </w:p>
    <w:p w:rsidR="001E3E7B" w:rsidRPr="0044574E" w:rsidRDefault="001E3E7B" w:rsidP="0044574E">
      <w:pPr>
        <w:pStyle w:val="ListParagraph"/>
        <w:numPr>
          <w:ilvl w:val="0"/>
          <w:numId w:val="8"/>
        </w:numPr>
        <w:spacing w:line="240" w:lineRule="auto"/>
        <w:rPr>
          <w:rFonts w:ascii="Times New Roman" w:hAnsi="Times New Roman" w:cs="Times New Roman"/>
          <w:sz w:val="24"/>
          <w:szCs w:val="24"/>
        </w:rPr>
      </w:pPr>
      <w:r w:rsidRPr="00210992">
        <w:rPr>
          <w:rFonts w:ascii="Times New Roman" w:hAnsi="Times New Roman" w:cs="Times New Roman"/>
          <w:sz w:val="24"/>
          <w:szCs w:val="24"/>
        </w:rPr>
        <w:t>Play a proactive role in ensuring that candidates, Senate groups and donors to candidates and Senate groups are aware of their legislative obligation to disclose particular financial dealings, the nature of that obligation and th</w:t>
      </w:r>
      <w:r w:rsidR="009B1EF3">
        <w:rPr>
          <w:rFonts w:ascii="Times New Roman" w:hAnsi="Times New Roman" w:cs="Times New Roman"/>
          <w:sz w:val="24"/>
          <w:szCs w:val="24"/>
        </w:rPr>
        <w:t>e ways by which they can meet their legislative obligation</w:t>
      </w:r>
      <w:r w:rsidRPr="00210992">
        <w:rPr>
          <w:rFonts w:ascii="Times New Roman" w:hAnsi="Times New Roman" w:cs="Times New Roman"/>
          <w:sz w:val="24"/>
          <w:szCs w:val="24"/>
        </w:rPr>
        <w:t xml:space="preserve">; </w:t>
      </w:r>
    </w:p>
    <w:p w:rsidR="001E3E7B" w:rsidRPr="00210992" w:rsidRDefault="001E3E7B" w:rsidP="001E3E7B">
      <w:pPr>
        <w:pStyle w:val="ListParagraph"/>
        <w:numPr>
          <w:ilvl w:val="0"/>
          <w:numId w:val="8"/>
        </w:numPr>
        <w:spacing w:line="240" w:lineRule="auto"/>
        <w:rPr>
          <w:rFonts w:ascii="Times New Roman" w:hAnsi="Times New Roman" w:cs="Times New Roman"/>
          <w:sz w:val="24"/>
          <w:szCs w:val="24"/>
        </w:rPr>
      </w:pPr>
      <w:r w:rsidRPr="00210992">
        <w:rPr>
          <w:rFonts w:ascii="Times New Roman" w:hAnsi="Times New Roman" w:cs="Times New Roman"/>
          <w:sz w:val="24"/>
          <w:szCs w:val="24"/>
        </w:rPr>
        <w:lastRenderedPageBreak/>
        <w:t>Undertake prosecution actions against those that commit an offence under the Electoral Act in relation to financial disclosure following an election; and</w:t>
      </w:r>
    </w:p>
    <w:p w:rsidR="001E3E7B" w:rsidRPr="00210992" w:rsidRDefault="001E3E7B" w:rsidP="001E3E7B">
      <w:pPr>
        <w:pStyle w:val="ListParagraph"/>
        <w:rPr>
          <w:rFonts w:ascii="Times New Roman" w:hAnsi="Times New Roman" w:cs="Times New Roman"/>
          <w:sz w:val="24"/>
          <w:szCs w:val="24"/>
        </w:rPr>
      </w:pPr>
    </w:p>
    <w:p w:rsidR="001E3E7B" w:rsidRPr="00210992" w:rsidRDefault="001E3E7B" w:rsidP="001E3E7B">
      <w:pPr>
        <w:pStyle w:val="ListParagraph"/>
        <w:numPr>
          <w:ilvl w:val="0"/>
          <w:numId w:val="8"/>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Following an election, manage and undertake the payment of election funding according to the official rate to those that are entitled to its payment under </w:t>
      </w:r>
      <w:r w:rsidR="009B1EF3">
        <w:rPr>
          <w:rFonts w:ascii="Times New Roman" w:hAnsi="Times New Roman" w:cs="Times New Roman"/>
          <w:sz w:val="24"/>
          <w:szCs w:val="24"/>
        </w:rPr>
        <w:t xml:space="preserve">Part XX of </w:t>
      </w:r>
      <w:r w:rsidRPr="00210992">
        <w:rPr>
          <w:rFonts w:ascii="Times New Roman" w:hAnsi="Times New Roman" w:cs="Times New Roman"/>
          <w:sz w:val="24"/>
          <w:szCs w:val="24"/>
        </w:rPr>
        <w:t>the Electoral Act in a timely and accurate manner.</w:t>
      </w:r>
    </w:p>
    <w:p w:rsidR="001E3E7B"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50" w:name="_Toc339540998"/>
      <w:r w:rsidRPr="008E1356">
        <w:rPr>
          <w:rFonts w:ascii="Times New Roman" w:hAnsi="Times New Roman" w:cs="Times New Roman"/>
          <w:b w:val="0"/>
          <w:bCs w:val="0"/>
          <w:color w:val="000000" w:themeColor="text1"/>
          <w:sz w:val="24"/>
          <w:szCs w:val="24"/>
        </w:rPr>
        <w:t>The above statement establishes the links between the processes administered by each of the</w:t>
      </w:r>
      <w:r w:rsidRPr="008E1356">
        <w:rPr>
          <w:rFonts w:ascii="Times New Roman" w:hAnsi="Times New Roman" w:cs="Times New Roman"/>
          <w:b w:val="0"/>
          <w:color w:val="000000" w:themeColor="text1"/>
          <w:sz w:val="24"/>
          <w:szCs w:val="24"/>
        </w:rPr>
        <w:t xml:space="preserve"> areas of FAD and connects these processes to the overarching purpose of guarding against corruption and undue influence through ensuring transparency in political financing.  A</w:t>
      </w:r>
      <w:r w:rsidR="00D07C76" w:rsidRPr="008E1356">
        <w:rPr>
          <w:rFonts w:ascii="Times New Roman" w:hAnsi="Times New Roman" w:cs="Times New Roman"/>
          <w:b w:val="0"/>
          <w:color w:val="000000" w:themeColor="text1"/>
          <w:sz w:val="24"/>
          <w:szCs w:val="24"/>
        </w:rPr>
        <w:t>n approved</w:t>
      </w:r>
      <w:r w:rsidRPr="008E1356">
        <w:rPr>
          <w:rFonts w:ascii="Times New Roman" w:hAnsi="Times New Roman" w:cs="Times New Roman"/>
          <w:b w:val="0"/>
          <w:color w:val="000000" w:themeColor="text1"/>
          <w:sz w:val="24"/>
          <w:szCs w:val="24"/>
        </w:rPr>
        <w:t xml:space="preserve"> strategic aim and objectives along these lines would provide staff with </w:t>
      </w:r>
      <w:r w:rsidR="00D07C76" w:rsidRPr="008E1356">
        <w:rPr>
          <w:rFonts w:ascii="Times New Roman" w:hAnsi="Times New Roman" w:cs="Times New Roman"/>
          <w:b w:val="0"/>
          <w:color w:val="000000" w:themeColor="text1"/>
          <w:sz w:val="24"/>
          <w:szCs w:val="24"/>
        </w:rPr>
        <w:t>some</w:t>
      </w:r>
      <w:r w:rsidRPr="008E1356">
        <w:rPr>
          <w:rFonts w:ascii="Times New Roman" w:hAnsi="Times New Roman" w:cs="Times New Roman"/>
          <w:b w:val="0"/>
          <w:color w:val="000000" w:themeColor="text1"/>
          <w:sz w:val="24"/>
          <w:szCs w:val="24"/>
        </w:rPr>
        <w:t xml:space="preserve"> context and purpose to their roles that would definitely be of benefit.</w:t>
      </w:r>
      <w:r w:rsidR="00307729" w:rsidRPr="008E1356">
        <w:rPr>
          <w:rFonts w:ascii="Times New Roman" w:hAnsi="Times New Roman" w:cs="Times New Roman"/>
          <w:b w:val="0"/>
          <w:color w:val="000000" w:themeColor="text1"/>
          <w:sz w:val="24"/>
          <w:szCs w:val="24"/>
        </w:rPr>
        <w:t xml:space="preserve">  It would ideally also operate to improve work processes and </w:t>
      </w:r>
      <w:r w:rsidR="00D07C76" w:rsidRPr="008E1356">
        <w:rPr>
          <w:rFonts w:ascii="Times New Roman" w:hAnsi="Times New Roman" w:cs="Times New Roman"/>
          <w:b w:val="0"/>
          <w:color w:val="000000" w:themeColor="text1"/>
          <w:sz w:val="24"/>
          <w:szCs w:val="24"/>
        </w:rPr>
        <w:t xml:space="preserve">equip staff to </w:t>
      </w:r>
      <w:r w:rsidR="00307729" w:rsidRPr="008E1356">
        <w:rPr>
          <w:rFonts w:ascii="Times New Roman" w:hAnsi="Times New Roman" w:cs="Times New Roman"/>
          <w:b w:val="0"/>
          <w:color w:val="000000" w:themeColor="text1"/>
          <w:sz w:val="24"/>
          <w:szCs w:val="24"/>
        </w:rPr>
        <w:t xml:space="preserve">recognise the instances in which some broader contextual factors may need to be taken into account and in </w:t>
      </w:r>
      <w:r w:rsidR="00D07C76" w:rsidRPr="008E1356">
        <w:rPr>
          <w:rFonts w:ascii="Times New Roman" w:hAnsi="Times New Roman" w:cs="Times New Roman"/>
          <w:b w:val="0"/>
          <w:color w:val="000000" w:themeColor="text1"/>
          <w:sz w:val="24"/>
          <w:szCs w:val="24"/>
        </w:rPr>
        <w:t>the application of standard procedures</w:t>
      </w:r>
      <w:r w:rsidR="00307729" w:rsidRPr="008E1356">
        <w:rPr>
          <w:rFonts w:ascii="Times New Roman" w:hAnsi="Times New Roman" w:cs="Times New Roman"/>
          <w:b w:val="0"/>
          <w:color w:val="000000" w:themeColor="text1"/>
          <w:sz w:val="24"/>
          <w:szCs w:val="24"/>
        </w:rPr>
        <w:t>.</w:t>
      </w:r>
      <w:bookmarkEnd w:id="150"/>
    </w:p>
    <w:p w:rsidR="00F54B1E" w:rsidRPr="00F54B1E" w:rsidRDefault="00F54B1E" w:rsidP="00F54B1E">
      <w:pPr>
        <w:pStyle w:val="Heading2"/>
        <w:rPr>
          <w:rFonts w:ascii="Times New Roman" w:hAnsi="Times New Roman" w:cs="Times New Roman"/>
          <w:color w:val="auto"/>
        </w:rPr>
      </w:pPr>
      <w:r w:rsidRPr="00F54B1E">
        <w:rPr>
          <w:rFonts w:ascii="Times New Roman" w:hAnsi="Times New Roman" w:cs="Times New Roman"/>
          <w:color w:val="auto"/>
        </w:rPr>
        <w:t>Administration of the disclosure and compliance scheme</w:t>
      </w:r>
    </w:p>
    <w:p w:rsidR="001E3E7B" w:rsidRPr="00F54B1E" w:rsidRDefault="001E3E7B" w:rsidP="00F54B1E">
      <w:pPr>
        <w:pStyle w:val="Heading2"/>
        <w:numPr>
          <w:ilvl w:val="1"/>
          <w:numId w:val="28"/>
        </w:numPr>
        <w:ind w:left="567" w:hanging="567"/>
        <w:rPr>
          <w:rFonts w:ascii="Times New Roman" w:hAnsi="Times New Roman" w:cs="Times New Roman"/>
          <w:b w:val="0"/>
          <w:color w:val="auto"/>
        </w:rPr>
      </w:pPr>
      <w:r w:rsidRPr="00F54B1E">
        <w:rPr>
          <w:rFonts w:ascii="Times New Roman" w:hAnsi="Times New Roman" w:cs="Times New Roman"/>
          <w:b w:val="0"/>
          <w:color w:val="auto"/>
          <w:sz w:val="24"/>
          <w:szCs w:val="24"/>
        </w:rPr>
        <w:t>The paper at Part</w:t>
      </w:r>
      <w:r w:rsidR="00307729" w:rsidRPr="00F54B1E">
        <w:rPr>
          <w:rFonts w:ascii="Times New Roman" w:hAnsi="Times New Roman" w:cs="Times New Roman"/>
          <w:b w:val="0"/>
          <w:color w:val="auto"/>
          <w:sz w:val="24"/>
          <w:szCs w:val="24"/>
        </w:rPr>
        <w:t xml:space="preserve"> 2</w:t>
      </w:r>
      <w:r w:rsidRPr="00F54B1E">
        <w:rPr>
          <w:rFonts w:ascii="Times New Roman" w:hAnsi="Times New Roman" w:cs="Times New Roman"/>
          <w:b w:val="0"/>
          <w:color w:val="auto"/>
          <w:sz w:val="24"/>
          <w:szCs w:val="24"/>
        </w:rPr>
        <w:t xml:space="preserve"> </w:t>
      </w:r>
      <w:r w:rsidR="00760BE3" w:rsidRPr="00F54B1E">
        <w:rPr>
          <w:rFonts w:ascii="Times New Roman" w:hAnsi="Times New Roman" w:cs="Times New Roman"/>
          <w:b w:val="0"/>
          <w:color w:val="auto"/>
          <w:sz w:val="24"/>
          <w:szCs w:val="24"/>
        </w:rPr>
        <w:t xml:space="preserve">of this report </w:t>
      </w:r>
      <w:r w:rsidRPr="00F54B1E">
        <w:rPr>
          <w:rFonts w:ascii="Times New Roman" w:hAnsi="Times New Roman" w:cs="Times New Roman"/>
          <w:b w:val="0"/>
          <w:color w:val="auto"/>
          <w:sz w:val="24"/>
          <w:szCs w:val="24"/>
        </w:rPr>
        <w:t>puts forward the argument that the disclosure scheme at the Commonwealth level was introduced primarily as an ‘essential’ or ‘necessary’ accountability mechanism for political actors, given that a public funding scheme (which meant that political parties were going to be receiving taxpayer money) was to be introduced.  This is in contrast with many other enforcement and accountability schemes in a range of other areas, which have predominantly been introduced as stand-alone measures in response to an identified or perceived problem.</w:t>
      </w:r>
    </w:p>
    <w:p w:rsidR="001E3E7B" w:rsidRPr="008E1356"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51" w:name="_Toc339541000"/>
      <w:r w:rsidRPr="008E1356">
        <w:rPr>
          <w:rFonts w:ascii="Times New Roman" w:hAnsi="Times New Roman" w:cs="Times New Roman"/>
          <w:b w:val="0"/>
          <w:color w:val="000000" w:themeColor="text1"/>
          <w:sz w:val="24"/>
          <w:szCs w:val="24"/>
        </w:rPr>
        <w:t xml:space="preserve">Part </w:t>
      </w:r>
      <w:r w:rsidR="00307729" w:rsidRPr="008E1356">
        <w:rPr>
          <w:rFonts w:ascii="Times New Roman" w:hAnsi="Times New Roman" w:cs="Times New Roman"/>
          <w:b w:val="0"/>
          <w:color w:val="000000" w:themeColor="text1"/>
          <w:sz w:val="24"/>
          <w:szCs w:val="24"/>
        </w:rPr>
        <w:t>2</w:t>
      </w:r>
      <w:r w:rsidRPr="008E1356">
        <w:rPr>
          <w:rFonts w:ascii="Times New Roman" w:hAnsi="Times New Roman" w:cs="Times New Roman"/>
          <w:b w:val="0"/>
          <w:color w:val="000000" w:themeColor="text1"/>
          <w:sz w:val="24"/>
          <w:szCs w:val="24"/>
        </w:rPr>
        <w:t xml:space="preserve"> refers to obtaining ‘voluntary compliance of the </w:t>
      </w:r>
      <w:r w:rsidR="00394E49">
        <w:rPr>
          <w:rFonts w:ascii="Times New Roman" w:hAnsi="Times New Roman" w:cs="Times New Roman"/>
          <w:b w:val="0"/>
          <w:color w:val="000000" w:themeColor="text1"/>
          <w:sz w:val="24"/>
          <w:szCs w:val="24"/>
        </w:rPr>
        <w:t>willing</w:t>
      </w:r>
      <w:r w:rsidRPr="008E1356">
        <w:rPr>
          <w:rFonts w:ascii="Times New Roman" w:hAnsi="Times New Roman" w:cs="Times New Roman"/>
          <w:b w:val="0"/>
          <w:color w:val="000000" w:themeColor="text1"/>
          <w:sz w:val="24"/>
          <w:szCs w:val="24"/>
        </w:rPr>
        <w:t>’ as one way in which the disclosure scheme seeks to promote transparency in political financing.  The ability to obtain voluntary compliance of the</w:t>
      </w:r>
      <w:r w:rsidR="00394E49">
        <w:rPr>
          <w:rFonts w:ascii="Times New Roman" w:hAnsi="Times New Roman" w:cs="Times New Roman"/>
          <w:b w:val="0"/>
          <w:color w:val="000000" w:themeColor="text1"/>
          <w:sz w:val="24"/>
          <w:szCs w:val="24"/>
        </w:rPr>
        <w:t xml:space="preserve"> willing</w:t>
      </w:r>
      <w:r w:rsidRPr="008E1356">
        <w:rPr>
          <w:rFonts w:ascii="Times New Roman" w:hAnsi="Times New Roman" w:cs="Times New Roman"/>
          <w:b w:val="0"/>
          <w:color w:val="000000" w:themeColor="text1"/>
          <w:sz w:val="24"/>
          <w:szCs w:val="24"/>
        </w:rPr>
        <w:t xml:space="preserve"> is reliant partially on the deterrent effect that the existence of penalties for wrongdoing is intended to have, but also on the relationship used to educate, encourage and equip them to meet their obligations in an effective and efficient manner. In devising strategies to effect the relationship-building and educative component in administering the Commonwealth disclosure and compliance scheme, recognition of the close conceptual integration between the aspects of the scheme (that is, party registration, disclosure</w:t>
      </w:r>
      <w:r w:rsidR="00081382" w:rsidRPr="008E1356">
        <w:rPr>
          <w:rFonts w:ascii="Times New Roman" w:hAnsi="Times New Roman" w:cs="Times New Roman"/>
          <w:b w:val="0"/>
          <w:color w:val="000000" w:themeColor="text1"/>
          <w:sz w:val="24"/>
          <w:szCs w:val="24"/>
        </w:rPr>
        <w:t xml:space="preserve"> and compliance) is important</w:t>
      </w:r>
      <w:r w:rsidRPr="008E1356">
        <w:rPr>
          <w:rFonts w:ascii="Times New Roman" w:hAnsi="Times New Roman" w:cs="Times New Roman"/>
          <w:b w:val="0"/>
          <w:color w:val="000000" w:themeColor="text1"/>
          <w:sz w:val="24"/>
          <w:szCs w:val="24"/>
        </w:rPr>
        <w:t>.</w:t>
      </w:r>
      <w:bookmarkEnd w:id="151"/>
    </w:p>
    <w:p w:rsidR="001E3E7B"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52" w:name="_Toc339541001"/>
      <w:r w:rsidRPr="008E1356">
        <w:rPr>
          <w:rFonts w:ascii="Times New Roman" w:hAnsi="Times New Roman" w:cs="Times New Roman"/>
          <w:b w:val="0"/>
          <w:bCs w:val="0"/>
          <w:color w:val="000000" w:themeColor="text1"/>
          <w:sz w:val="24"/>
          <w:szCs w:val="24"/>
        </w:rPr>
        <w:t>The process of obtaining compliance with the Commonwealth disclosure and compliance scheme in the Electoral Act can be separated into three steps that accord with the legislative themes across Parts XI and XX of the legislation. The payment of election funding is not considered</w:t>
      </w:r>
      <w:r w:rsidRPr="008E1356">
        <w:rPr>
          <w:rFonts w:ascii="Times New Roman" w:hAnsi="Times New Roman" w:cs="Times New Roman"/>
          <w:b w:val="0"/>
          <w:color w:val="000000" w:themeColor="text1"/>
          <w:sz w:val="24"/>
          <w:szCs w:val="24"/>
        </w:rPr>
        <w:t xml:space="preserve"> here as it is a function that is only performed following an election:</w:t>
      </w:r>
      <w:bookmarkEnd w:id="152"/>
    </w:p>
    <w:p w:rsidR="005F45F1" w:rsidRPr="005F45F1" w:rsidRDefault="005F45F1" w:rsidP="0044574E">
      <w:pPr>
        <w:spacing w:after="0"/>
      </w:pPr>
    </w:p>
    <w:p w:rsidR="001E3E7B" w:rsidRPr="00F801D5" w:rsidRDefault="001E3E7B" w:rsidP="00F801D5">
      <w:pPr>
        <w:pStyle w:val="ListParagraph"/>
        <w:numPr>
          <w:ilvl w:val="0"/>
          <w:numId w:val="3"/>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Registration of a political party and the accompanying appointment of office bearers.  Once the party has been registered the relationship between the </w:t>
      </w:r>
      <w:r w:rsidR="00495542">
        <w:rPr>
          <w:rFonts w:ascii="Times New Roman" w:hAnsi="Times New Roman" w:cs="Times New Roman"/>
          <w:sz w:val="24"/>
          <w:szCs w:val="24"/>
        </w:rPr>
        <w:lastRenderedPageBreak/>
        <w:t>Commission</w:t>
      </w:r>
      <w:r w:rsidRPr="00210992">
        <w:rPr>
          <w:rFonts w:ascii="Times New Roman" w:hAnsi="Times New Roman" w:cs="Times New Roman"/>
          <w:sz w:val="24"/>
          <w:szCs w:val="24"/>
        </w:rPr>
        <w:t xml:space="preserve"> and the political party commences at the point at which office bearers are changed;</w:t>
      </w:r>
    </w:p>
    <w:p w:rsidR="005F45F1" w:rsidRDefault="001E3E7B" w:rsidP="005F45F1">
      <w:pPr>
        <w:pStyle w:val="ListParagraph"/>
        <w:numPr>
          <w:ilvl w:val="0"/>
          <w:numId w:val="3"/>
        </w:numPr>
        <w:spacing w:line="240" w:lineRule="auto"/>
        <w:rPr>
          <w:rFonts w:ascii="Times New Roman" w:hAnsi="Times New Roman" w:cs="Times New Roman"/>
          <w:sz w:val="24"/>
          <w:szCs w:val="24"/>
        </w:rPr>
      </w:pPr>
      <w:r w:rsidRPr="00210992">
        <w:rPr>
          <w:rFonts w:ascii="Times New Roman" w:hAnsi="Times New Roman" w:cs="Times New Roman"/>
          <w:sz w:val="24"/>
          <w:szCs w:val="24"/>
        </w:rPr>
        <w:t>Contacting and liaising with stakeholders to inform them of their disclosure obligations and to obtain lodgement of a disclosure return that contains all items required under the legislation; and</w:t>
      </w:r>
    </w:p>
    <w:p w:rsidR="005F45F1" w:rsidRPr="005F45F1" w:rsidRDefault="005F45F1" w:rsidP="005F45F1">
      <w:pPr>
        <w:pStyle w:val="ListParagraph"/>
        <w:rPr>
          <w:rFonts w:ascii="Times New Roman" w:hAnsi="Times New Roman" w:cs="Times New Roman"/>
          <w:sz w:val="24"/>
          <w:szCs w:val="24"/>
        </w:rPr>
      </w:pPr>
    </w:p>
    <w:p w:rsidR="00F3210E" w:rsidRPr="008D154E" w:rsidRDefault="001E3E7B" w:rsidP="008D154E">
      <w:pPr>
        <w:pStyle w:val="ListParagraph"/>
        <w:numPr>
          <w:ilvl w:val="0"/>
          <w:numId w:val="3"/>
        </w:numPr>
        <w:spacing w:line="240" w:lineRule="auto"/>
        <w:rPr>
          <w:rFonts w:ascii="Times New Roman" w:hAnsi="Times New Roman" w:cs="Times New Roman"/>
          <w:sz w:val="24"/>
          <w:szCs w:val="24"/>
        </w:rPr>
      </w:pPr>
      <w:r w:rsidRPr="005F45F1">
        <w:rPr>
          <w:rFonts w:ascii="Times New Roman" w:hAnsi="Times New Roman" w:cs="Times New Roman"/>
          <w:sz w:val="24"/>
          <w:szCs w:val="24"/>
        </w:rPr>
        <w:t>Ensuring that the information is complete and accurate and that all information has been disclosed.</w:t>
      </w:r>
    </w:p>
    <w:p w:rsidR="00F3210E" w:rsidRPr="00F3210E" w:rsidRDefault="00F3210E" w:rsidP="00F3210E">
      <w:pPr>
        <w:pStyle w:val="ListParagraph"/>
        <w:spacing w:line="240" w:lineRule="auto"/>
        <w:ind w:left="1440"/>
        <w:rPr>
          <w:rFonts w:ascii="Times New Roman" w:hAnsi="Times New Roman" w:cs="Times New Roman"/>
          <w:sz w:val="24"/>
          <w:szCs w:val="24"/>
        </w:rPr>
      </w:pPr>
    </w:p>
    <w:p w:rsidR="001970E2" w:rsidRDefault="001E3E7B" w:rsidP="00F3210E">
      <w:pPr>
        <w:pStyle w:val="ListParagraph"/>
        <w:numPr>
          <w:ilvl w:val="1"/>
          <w:numId w:val="28"/>
        </w:numPr>
        <w:spacing w:before="200" w:after="0"/>
        <w:ind w:left="567" w:hanging="567"/>
        <w:rPr>
          <w:rFonts w:ascii="Times New Roman" w:hAnsi="Times New Roman" w:cs="Times New Roman"/>
          <w:color w:val="000000" w:themeColor="text1"/>
          <w:sz w:val="24"/>
          <w:szCs w:val="24"/>
        </w:rPr>
      </w:pPr>
      <w:r w:rsidRPr="001970E2">
        <w:rPr>
          <w:rFonts w:ascii="Times New Roman" w:hAnsi="Times New Roman" w:cs="Times New Roman"/>
          <w:color w:val="000000" w:themeColor="text1"/>
          <w:sz w:val="24"/>
          <w:szCs w:val="24"/>
        </w:rPr>
        <w:t xml:space="preserve">The report recommends a more targeted use of the compliance powers available to the </w:t>
      </w:r>
      <w:r w:rsidR="00495542" w:rsidRPr="001970E2">
        <w:rPr>
          <w:rFonts w:ascii="Times New Roman" w:hAnsi="Times New Roman" w:cs="Times New Roman"/>
          <w:color w:val="000000" w:themeColor="text1"/>
          <w:sz w:val="24"/>
          <w:szCs w:val="24"/>
        </w:rPr>
        <w:t>Commission</w:t>
      </w:r>
      <w:r w:rsidRPr="001970E2">
        <w:rPr>
          <w:rFonts w:ascii="Times New Roman" w:hAnsi="Times New Roman" w:cs="Times New Roman"/>
          <w:color w:val="000000" w:themeColor="text1"/>
          <w:sz w:val="24"/>
          <w:szCs w:val="24"/>
        </w:rPr>
        <w:t>. A serious attempt at administering the legislation in an holistic manner and ‘relationship building’ with clients means the targeted, focused and ‘individualised’ approach needs to permeate the whole section’s business and not just parts of it.</w:t>
      </w:r>
    </w:p>
    <w:p w:rsidR="001970E2" w:rsidRPr="001970E2" w:rsidRDefault="001970E2" w:rsidP="001970E2">
      <w:pPr>
        <w:pStyle w:val="ListParagraph"/>
        <w:rPr>
          <w:rFonts w:ascii="Times New Roman" w:hAnsi="Times New Roman" w:cs="Times New Roman"/>
          <w:color w:val="000000" w:themeColor="text1"/>
          <w:sz w:val="24"/>
          <w:szCs w:val="24"/>
        </w:rPr>
      </w:pPr>
    </w:p>
    <w:p w:rsidR="001970E2" w:rsidRPr="001970E2" w:rsidRDefault="001E3E7B" w:rsidP="00F3210E">
      <w:pPr>
        <w:pStyle w:val="ListParagraph"/>
        <w:numPr>
          <w:ilvl w:val="1"/>
          <w:numId w:val="28"/>
        </w:numPr>
        <w:spacing w:before="200" w:after="0"/>
        <w:ind w:left="567" w:hanging="567"/>
        <w:rPr>
          <w:rFonts w:ascii="Times New Roman" w:hAnsi="Times New Roman" w:cs="Times New Roman"/>
          <w:i/>
          <w:color w:val="000000" w:themeColor="text1"/>
          <w:sz w:val="24"/>
          <w:szCs w:val="24"/>
        </w:rPr>
      </w:pPr>
      <w:r w:rsidRPr="001970E2">
        <w:rPr>
          <w:rFonts w:ascii="Times New Roman" w:hAnsi="Times New Roman" w:cs="Times New Roman"/>
          <w:color w:val="000000" w:themeColor="text1"/>
          <w:sz w:val="24"/>
          <w:szCs w:val="24"/>
        </w:rPr>
        <w:t xml:space="preserve">For example, the current approach to contacting clients in FAD is to use template letters that are not significantly tailored or amended on an individual basis.  Template letters are very useful for the disclosure, compliance and party registration areas when sending bulk correspondence informing people that they have a disclosure obligation, issuing a notice under section 316(2A) or informing a person that they have been successfully appointed as an office bearer of a political party and other administrative matters.  </w:t>
      </w:r>
    </w:p>
    <w:p w:rsidR="001970E2" w:rsidRPr="001970E2" w:rsidRDefault="001970E2" w:rsidP="001970E2">
      <w:pPr>
        <w:pStyle w:val="ListParagraph"/>
        <w:rPr>
          <w:rFonts w:ascii="Times New Roman" w:hAnsi="Times New Roman" w:cs="Times New Roman"/>
          <w:color w:val="000000" w:themeColor="text1"/>
          <w:sz w:val="24"/>
          <w:szCs w:val="24"/>
        </w:rPr>
      </w:pPr>
    </w:p>
    <w:p w:rsidR="0089354D" w:rsidRPr="0089354D" w:rsidRDefault="001E3E7B" w:rsidP="00450269">
      <w:pPr>
        <w:pStyle w:val="ListParagraph"/>
        <w:numPr>
          <w:ilvl w:val="1"/>
          <w:numId w:val="28"/>
        </w:numPr>
        <w:spacing w:before="200" w:after="0"/>
        <w:ind w:left="567" w:hanging="567"/>
        <w:rPr>
          <w:rFonts w:ascii="Times New Roman" w:hAnsi="Times New Roman" w:cs="Times New Roman"/>
          <w:i/>
          <w:color w:val="000000" w:themeColor="text1"/>
          <w:sz w:val="24"/>
          <w:szCs w:val="24"/>
        </w:rPr>
      </w:pPr>
      <w:r w:rsidRPr="001970E2">
        <w:rPr>
          <w:rFonts w:ascii="Times New Roman" w:hAnsi="Times New Roman" w:cs="Times New Roman"/>
          <w:color w:val="000000" w:themeColor="text1"/>
          <w:sz w:val="24"/>
          <w:szCs w:val="24"/>
        </w:rPr>
        <w:t>The Director of the compliance area</w:t>
      </w:r>
      <w:r w:rsidR="00495542" w:rsidRPr="001970E2">
        <w:rPr>
          <w:rFonts w:ascii="Times New Roman" w:hAnsi="Times New Roman" w:cs="Times New Roman"/>
          <w:color w:val="000000" w:themeColor="text1"/>
          <w:sz w:val="24"/>
          <w:szCs w:val="24"/>
        </w:rPr>
        <w:t xml:space="preserve"> stated</w:t>
      </w:r>
      <w:r w:rsidRPr="001970E2">
        <w:rPr>
          <w:rFonts w:ascii="Times New Roman" w:hAnsi="Times New Roman" w:cs="Times New Roman"/>
          <w:color w:val="000000" w:themeColor="text1"/>
          <w:sz w:val="24"/>
          <w:szCs w:val="24"/>
        </w:rPr>
        <w:t xml:space="preserve"> that his staff contact clients via phone prior to issuing a notice under section 316(2A) to discuss the process of the review, timeframes and other issues and use this information to tailor letters to the client.  </w:t>
      </w:r>
      <w:r w:rsidR="0001581B" w:rsidRPr="001970E2">
        <w:rPr>
          <w:rFonts w:ascii="Times New Roman" w:hAnsi="Times New Roman" w:cs="Times New Roman"/>
          <w:color w:val="000000" w:themeColor="text1"/>
          <w:sz w:val="24"/>
          <w:szCs w:val="24"/>
        </w:rPr>
        <w:t xml:space="preserve">Likewise, the Director of the Disclosure and Party Registration section stated that her two areas included where relevant and possible, </w:t>
      </w:r>
      <w:r w:rsidR="00BB3D53" w:rsidRPr="001970E2">
        <w:rPr>
          <w:rFonts w:ascii="Times New Roman" w:hAnsi="Times New Roman" w:cs="Times New Roman"/>
          <w:color w:val="000000" w:themeColor="text1"/>
          <w:sz w:val="24"/>
          <w:szCs w:val="24"/>
        </w:rPr>
        <w:t xml:space="preserve">include </w:t>
      </w:r>
      <w:r w:rsidR="0001581B" w:rsidRPr="001970E2">
        <w:rPr>
          <w:rFonts w:ascii="Times New Roman" w:hAnsi="Times New Roman" w:cs="Times New Roman"/>
          <w:color w:val="000000" w:themeColor="text1"/>
          <w:sz w:val="24"/>
          <w:szCs w:val="24"/>
        </w:rPr>
        <w:t>information on each of the subject areas</w:t>
      </w:r>
      <w:r w:rsidR="00BB3D53" w:rsidRPr="001970E2">
        <w:rPr>
          <w:rFonts w:ascii="Times New Roman" w:hAnsi="Times New Roman" w:cs="Times New Roman"/>
          <w:color w:val="000000" w:themeColor="text1"/>
          <w:sz w:val="24"/>
          <w:szCs w:val="24"/>
        </w:rPr>
        <w:t xml:space="preserve"> in correspondence</w:t>
      </w:r>
      <w:r w:rsidR="0001581B" w:rsidRPr="001970E2">
        <w:rPr>
          <w:rFonts w:ascii="Times New Roman" w:hAnsi="Times New Roman" w:cs="Times New Roman"/>
          <w:color w:val="000000" w:themeColor="text1"/>
          <w:sz w:val="24"/>
          <w:szCs w:val="24"/>
        </w:rPr>
        <w:t xml:space="preserve">.  </w:t>
      </w:r>
    </w:p>
    <w:p w:rsidR="0089354D" w:rsidRPr="0089354D" w:rsidRDefault="0089354D" w:rsidP="0089354D">
      <w:pPr>
        <w:pStyle w:val="ListParagraph"/>
        <w:rPr>
          <w:rFonts w:ascii="Times New Roman" w:hAnsi="Times New Roman" w:cs="Times New Roman"/>
          <w:color w:val="000000" w:themeColor="text1"/>
          <w:sz w:val="24"/>
          <w:szCs w:val="24"/>
        </w:rPr>
      </w:pPr>
    </w:p>
    <w:p w:rsidR="00792115" w:rsidRPr="00F54B1E" w:rsidRDefault="001E3E7B" w:rsidP="00450269">
      <w:pPr>
        <w:pStyle w:val="ListParagraph"/>
        <w:numPr>
          <w:ilvl w:val="1"/>
          <w:numId w:val="28"/>
        </w:numPr>
        <w:spacing w:before="200" w:after="0"/>
        <w:ind w:left="567" w:hanging="567"/>
        <w:rPr>
          <w:rFonts w:ascii="Times New Roman" w:hAnsi="Times New Roman" w:cs="Times New Roman"/>
          <w:i/>
          <w:color w:val="000000" w:themeColor="text1"/>
          <w:sz w:val="24"/>
          <w:szCs w:val="24"/>
        </w:rPr>
      </w:pPr>
      <w:r w:rsidRPr="001970E2">
        <w:rPr>
          <w:rFonts w:ascii="Times New Roman" w:hAnsi="Times New Roman" w:cs="Times New Roman"/>
          <w:color w:val="000000" w:themeColor="text1"/>
          <w:sz w:val="24"/>
          <w:szCs w:val="24"/>
        </w:rPr>
        <w:t xml:space="preserve">However, it is clear that the development of processes to manage the use of information and knowledge gathered through interactions with clients to influence the nature of contact and information conveyed in correspondence in </w:t>
      </w:r>
      <w:r w:rsidRPr="001970E2">
        <w:rPr>
          <w:rFonts w:ascii="Times New Roman" w:hAnsi="Times New Roman" w:cs="Times New Roman"/>
          <w:i/>
          <w:color w:val="000000" w:themeColor="text1"/>
          <w:sz w:val="24"/>
          <w:szCs w:val="24"/>
        </w:rPr>
        <w:t xml:space="preserve">all </w:t>
      </w:r>
      <w:r w:rsidRPr="001970E2">
        <w:rPr>
          <w:rFonts w:ascii="Times New Roman" w:hAnsi="Times New Roman" w:cs="Times New Roman"/>
          <w:color w:val="000000" w:themeColor="text1"/>
          <w:sz w:val="24"/>
          <w:szCs w:val="24"/>
        </w:rPr>
        <w:t>areas of FAD (for example, through increased tailoring of template correspondence</w:t>
      </w:r>
      <w:r w:rsidR="002606BF" w:rsidRPr="001970E2">
        <w:rPr>
          <w:rFonts w:ascii="Times New Roman" w:hAnsi="Times New Roman" w:cs="Times New Roman"/>
          <w:color w:val="000000" w:themeColor="text1"/>
          <w:sz w:val="24"/>
          <w:szCs w:val="24"/>
        </w:rPr>
        <w:t xml:space="preserve"> on disclosure</w:t>
      </w:r>
      <w:r w:rsidR="0001581B" w:rsidRPr="001970E2">
        <w:rPr>
          <w:rFonts w:ascii="Times New Roman" w:hAnsi="Times New Roman" w:cs="Times New Roman"/>
          <w:color w:val="000000" w:themeColor="text1"/>
          <w:sz w:val="24"/>
          <w:szCs w:val="24"/>
        </w:rPr>
        <w:t>, compliance</w:t>
      </w:r>
      <w:r w:rsidR="002606BF" w:rsidRPr="001970E2">
        <w:rPr>
          <w:rFonts w:ascii="Times New Roman" w:hAnsi="Times New Roman" w:cs="Times New Roman"/>
          <w:color w:val="000000" w:themeColor="text1"/>
          <w:sz w:val="24"/>
          <w:szCs w:val="24"/>
        </w:rPr>
        <w:t xml:space="preserve"> </w:t>
      </w:r>
      <w:r w:rsidR="002606BF" w:rsidRPr="001970E2">
        <w:rPr>
          <w:rFonts w:ascii="Times New Roman" w:hAnsi="Times New Roman" w:cs="Times New Roman"/>
          <w:i/>
          <w:color w:val="000000" w:themeColor="text1"/>
          <w:sz w:val="24"/>
          <w:szCs w:val="24"/>
        </w:rPr>
        <w:t xml:space="preserve">and </w:t>
      </w:r>
      <w:r w:rsidR="002606BF" w:rsidRPr="001970E2">
        <w:rPr>
          <w:rFonts w:ascii="Times New Roman" w:hAnsi="Times New Roman" w:cs="Times New Roman"/>
          <w:color w:val="000000" w:themeColor="text1"/>
          <w:sz w:val="24"/>
          <w:szCs w:val="24"/>
        </w:rPr>
        <w:t>party regis</w:t>
      </w:r>
      <w:r w:rsidRPr="001970E2">
        <w:rPr>
          <w:rFonts w:ascii="Times New Roman" w:hAnsi="Times New Roman" w:cs="Times New Roman"/>
          <w:color w:val="000000" w:themeColor="text1"/>
          <w:sz w:val="24"/>
          <w:szCs w:val="24"/>
        </w:rPr>
        <w:t xml:space="preserve">tration matters to target specific issues within particular parties regarding the meeting of a disclosure obligation) is one way in which </w:t>
      </w:r>
      <w:r w:rsidR="0001581B" w:rsidRPr="001970E2">
        <w:rPr>
          <w:rFonts w:ascii="Times New Roman" w:hAnsi="Times New Roman" w:cs="Times New Roman"/>
          <w:i/>
          <w:color w:val="000000" w:themeColor="text1"/>
          <w:sz w:val="24"/>
          <w:szCs w:val="24"/>
        </w:rPr>
        <w:t xml:space="preserve">all </w:t>
      </w:r>
      <w:r w:rsidRPr="001970E2">
        <w:rPr>
          <w:rFonts w:ascii="Times New Roman" w:hAnsi="Times New Roman" w:cs="Times New Roman"/>
          <w:color w:val="000000" w:themeColor="text1"/>
          <w:sz w:val="24"/>
          <w:szCs w:val="24"/>
        </w:rPr>
        <w:t xml:space="preserve">areas of FAD could collaborate </w:t>
      </w:r>
      <w:r w:rsidR="0001581B" w:rsidRPr="001970E2">
        <w:rPr>
          <w:rFonts w:ascii="Times New Roman" w:hAnsi="Times New Roman" w:cs="Times New Roman"/>
          <w:color w:val="000000" w:themeColor="text1"/>
          <w:sz w:val="24"/>
          <w:szCs w:val="24"/>
        </w:rPr>
        <w:t xml:space="preserve">with each other to a much greater extent </w:t>
      </w:r>
      <w:r w:rsidRPr="001970E2">
        <w:rPr>
          <w:rFonts w:ascii="Times New Roman" w:hAnsi="Times New Roman" w:cs="Times New Roman"/>
          <w:color w:val="000000" w:themeColor="text1"/>
          <w:sz w:val="24"/>
          <w:szCs w:val="24"/>
        </w:rPr>
        <w:t xml:space="preserve">to improve outcomes.  </w:t>
      </w:r>
    </w:p>
    <w:p w:rsidR="00F54B1E" w:rsidRPr="00F54B1E" w:rsidRDefault="00F54B1E" w:rsidP="00F54B1E">
      <w:pPr>
        <w:pStyle w:val="ListParagraph"/>
        <w:rPr>
          <w:rFonts w:ascii="Times New Roman" w:hAnsi="Times New Roman" w:cs="Times New Roman"/>
          <w:i/>
          <w:color w:val="000000" w:themeColor="text1"/>
          <w:sz w:val="24"/>
          <w:szCs w:val="24"/>
        </w:rPr>
      </w:pPr>
    </w:p>
    <w:p w:rsidR="00F54B1E" w:rsidRDefault="00F54B1E" w:rsidP="00F54B1E">
      <w:pPr>
        <w:spacing w:before="200" w:after="0"/>
        <w:rPr>
          <w:rFonts w:ascii="Times New Roman" w:hAnsi="Times New Roman" w:cs="Times New Roman"/>
          <w:i/>
          <w:color w:val="000000" w:themeColor="text1"/>
          <w:sz w:val="24"/>
          <w:szCs w:val="24"/>
        </w:rPr>
      </w:pPr>
    </w:p>
    <w:p w:rsidR="00F54B1E" w:rsidRDefault="00F54B1E" w:rsidP="00F54B1E">
      <w:pPr>
        <w:spacing w:before="200" w:after="0"/>
        <w:rPr>
          <w:rFonts w:ascii="Times New Roman" w:hAnsi="Times New Roman" w:cs="Times New Roman"/>
          <w:i/>
          <w:color w:val="000000" w:themeColor="text1"/>
          <w:sz w:val="24"/>
          <w:szCs w:val="24"/>
        </w:rPr>
      </w:pPr>
    </w:p>
    <w:p w:rsidR="00F54B1E" w:rsidRPr="00F54B1E" w:rsidRDefault="00F54B1E" w:rsidP="00F54B1E">
      <w:pPr>
        <w:spacing w:before="200" w:after="0"/>
        <w:rPr>
          <w:rFonts w:ascii="Times New Roman" w:hAnsi="Times New Roman" w:cs="Times New Roman"/>
          <w:i/>
          <w:color w:val="000000" w:themeColor="text1"/>
          <w:sz w:val="24"/>
          <w:szCs w:val="24"/>
        </w:rPr>
      </w:pPr>
    </w:p>
    <w:p w:rsidR="00D44DC7" w:rsidRPr="00DE6E1C" w:rsidRDefault="00F54B1E" w:rsidP="00DE6E1C">
      <w:pPr>
        <w:pStyle w:val="Heading3"/>
        <w:rPr>
          <w:rFonts w:ascii="Times New Roman" w:hAnsi="Times New Roman" w:cs="Times New Roman"/>
          <w:color w:val="auto"/>
        </w:rPr>
      </w:pPr>
      <w:r w:rsidRPr="00DE6E1C">
        <w:rPr>
          <w:rFonts w:ascii="Times New Roman" w:hAnsi="Times New Roman" w:cs="Times New Roman"/>
          <w:color w:val="auto"/>
        </w:rPr>
        <w:lastRenderedPageBreak/>
        <w:t>Collaboration when a new political party is registered or a new office bearer is appointed</w:t>
      </w:r>
    </w:p>
    <w:p w:rsidR="00F54B1E" w:rsidRPr="00DE6E1C" w:rsidRDefault="001E3E7B" w:rsidP="00F54B1E">
      <w:pPr>
        <w:pStyle w:val="Heading2"/>
        <w:numPr>
          <w:ilvl w:val="1"/>
          <w:numId w:val="28"/>
        </w:numPr>
        <w:ind w:left="567" w:hanging="567"/>
        <w:rPr>
          <w:rFonts w:ascii="Times New Roman" w:hAnsi="Times New Roman" w:cs="Times New Roman"/>
          <w:b w:val="0"/>
          <w:color w:val="auto"/>
          <w:sz w:val="24"/>
          <w:szCs w:val="24"/>
        </w:rPr>
      </w:pPr>
      <w:r w:rsidRPr="00F54B1E">
        <w:rPr>
          <w:rFonts w:ascii="Times New Roman" w:hAnsi="Times New Roman" w:cs="Times New Roman"/>
          <w:b w:val="0"/>
          <w:color w:val="auto"/>
          <w:sz w:val="24"/>
          <w:szCs w:val="24"/>
        </w:rPr>
        <w:t xml:space="preserve">The first point of contact that the FAD section has with a political party is through its office bearers (usually the secretary and/or party agent) at the point the party is registered.  </w:t>
      </w:r>
    </w:p>
    <w:p w:rsidR="00F54B1E" w:rsidRPr="00F54B1E" w:rsidRDefault="001E3E7B" w:rsidP="00F54B1E">
      <w:pPr>
        <w:pStyle w:val="Heading2"/>
        <w:numPr>
          <w:ilvl w:val="1"/>
          <w:numId w:val="28"/>
        </w:numPr>
        <w:ind w:left="567" w:hanging="567"/>
        <w:rPr>
          <w:rFonts w:ascii="Times New Roman" w:hAnsi="Times New Roman" w:cs="Times New Roman"/>
          <w:b w:val="0"/>
          <w:color w:val="000000" w:themeColor="text1"/>
          <w:sz w:val="24"/>
          <w:szCs w:val="24"/>
        </w:rPr>
      </w:pPr>
      <w:bookmarkStart w:id="153" w:name="_Toc339541003"/>
      <w:r w:rsidRPr="008E1356">
        <w:rPr>
          <w:rFonts w:ascii="Times New Roman" w:hAnsi="Times New Roman" w:cs="Times New Roman"/>
          <w:b w:val="0"/>
          <w:color w:val="000000" w:themeColor="text1"/>
          <w:sz w:val="24"/>
          <w:szCs w:val="24"/>
        </w:rPr>
        <w:t xml:space="preserve">The party registration area already sends information about annual disclosure and compliance reviews to party office bearers when a party is first registered.  A brief reference is made to the disclosure obligation, the electronic lodgement </w:t>
      </w:r>
      <w:r w:rsidR="005E3CE8" w:rsidRPr="008E1356">
        <w:rPr>
          <w:rFonts w:ascii="Times New Roman" w:hAnsi="Times New Roman" w:cs="Times New Roman"/>
          <w:b w:val="0"/>
          <w:color w:val="000000" w:themeColor="text1"/>
          <w:sz w:val="24"/>
          <w:szCs w:val="24"/>
        </w:rPr>
        <w:t>facility</w:t>
      </w:r>
      <w:r w:rsidRPr="008E1356">
        <w:rPr>
          <w:rFonts w:ascii="Times New Roman" w:hAnsi="Times New Roman" w:cs="Times New Roman"/>
          <w:b w:val="0"/>
          <w:color w:val="000000" w:themeColor="text1"/>
          <w:sz w:val="24"/>
          <w:szCs w:val="24"/>
        </w:rPr>
        <w:t>, compliance reviews and the guides to assist with meeting the disclosure obligation.  The letter to a new party agent upon their appointment includes information about the disclosure obligation, reference to the electronic lodgement system and guides but is considerably less detailed than the letter to a newly registered political party.</w:t>
      </w:r>
      <w:bookmarkEnd w:id="153"/>
    </w:p>
    <w:p w:rsidR="001E3E7B"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54" w:name="_Toc339541004"/>
      <w:r w:rsidRPr="008E1356">
        <w:rPr>
          <w:rFonts w:ascii="Times New Roman" w:hAnsi="Times New Roman" w:cs="Times New Roman"/>
          <w:b w:val="0"/>
          <w:color w:val="000000" w:themeColor="text1"/>
          <w:sz w:val="24"/>
          <w:szCs w:val="24"/>
        </w:rPr>
        <w:t xml:space="preserve">An initial suggestion could be that the contents </w:t>
      </w:r>
      <w:r w:rsidR="000417F6" w:rsidRPr="008E1356">
        <w:rPr>
          <w:rFonts w:ascii="Times New Roman" w:hAnsi="Times New Roman" w:cs="Times New Roman"/>
          <w:b w:val="0"/>
          <w:color w:val="000000" w:themeColor="text1"/>
          <w:sz w:val="24"/>
          <w:szCs w:val="24"/>
        </w:rPr>
        <w:t xml:space="preserve">in letters </w:t>
      </w:r>
      <w:r w:rsidRPr="008E1356">
        <w:rPr>
          <w:rFonts w:ascii="Times New Roman" w:hAnsi="Times New Roman" w:cs="Times New Roman"/>
          <w:b w:val="0"/>
          <w:color w:val="000000" w:themeColor="text1"/>
          <w:sz w:val="24"/>
          <w:szCs w:val="24"/>
        </w:rPr>
        <w:t>to a new party agent of a newly registered political party are made more similar as far as is relevant.  The party registration team could also liaise with the disclosure and compliance areas to obtain specific information from the other teams’ perspectives that would be useful to communicate to a newly registered political party or to a new office bearer upon their appointment.  The letter used for each purpose could also assist in FAD playing a more proactive role in stakeholder education and engagement by including reference to:</w:t>
      </w:r>
      <w:bookmarkEnd w:id="154"/>
    </w:p>
    <w:p w:rsidR="005F45F1" w:rsidRPr="005F45F1" w:rsidRDefault="005F45F1" w:rsidP="0044574E">
      <w:pPr>
        <w:spacing w:after="0"/>
      </w:pPr>
    </w:p>
    <w:p w:rsidR="001E3E7B" w:rsidRPr="00210992" w:rsidRDefault="001E3E7B" w:rsidP="001E3E7B">
      <w:pPr>
        <w:pStyle w:val="ListParagraph"/>
        <w:numPr>
          <w:ilvl w:val="0"/>
          <w:numId w:val="9"/>
        </w:numPr>
        <w:spacing w:line="240" w:lineRule="auto"/>
        <w:rPr>
          <w:rFonts w:ascii="Times New Roman" w:hAnsi="Times New Roman" w:cs="Times New Roman"/>
          <w:sz w:val="24"/>
          <w:szCs w:val="24"/>
        </w:rPr>
      </w:pPr>
      <w:r w:rsidRPr="00210992">
        <w:rPr>
          <w:rFonts w:ascii="Times New Roman" w:hAnsi="Times New Roman" w:cs="Times New Roman"/>
          <w:sz w:val="24"/>
          <w:szCs w:val="24"/>
        </w:rPr>
        <w:t>An offer to provide on-site assistance or do a presentation on the</w:t>
      </w:r>
      <w:r w:rsidR="005E3CE8">
        <w:rPr>
          <w:rFonts w:ascii="Times New Roman" w:hAnsi="Times New Roman" w:cs="Times New Roman"/>
          <w:sz w:val="24"/>
          <w:szCs w:val="24"/>
        </w:rPr>
        <w:t xml:space="preserve"> nature of the disclosure obligation and the</w:t>
      </w:r>
      <w:r w:rsidRPr="00210992">
        <w:rPr>
          <w:rFonts w:ascii="Times New Roman" w:hAnsi="Times New Roman" w:cs="Times New Roman"/>
          <w:sz w:val="24"/>
          <w:szCs w:val="24"/>
        </w:rPr>
        <w:t xml:space="preserve"> use of the electronic lodgement system to help boost the poor uptake rates to date and proactively engage with the stakeholders; </w:t>
      </w:r>
    </w:p>
    <w:p w:rsidR="001E3E7B" w:rsidRPr="00210992" w:rsidRDefault="001E3E7B" w:rsidP="001E3E7B">
      <w:pPr>
        <w:pStyle w:val="ListParagraph"/>
        <w:rPr>
          <w:rFonts w:ascii="Times New Roman" w:hAnsi="Times New Roman" w:cs="Times New Roman"/>
          <w:sz w:val="24"/>
          <w:szCs w:val="24"/>
        </w:rPr>
      </w:pPr>
    </w:p>
    <w:p w:rsidR="001E3E7B" w:rsidRPr="00210992" w:rsidRDefault="001E3E7B" w:rsidP="001E3E7B">
      <w:pPr>
        <w:pStyle w:val="ListParagraph"/>
        <w:numPr>
          <w:ilvl w:val="0"/>
          <w:numId w:val="9"/>
        </w:numPr>
        <w:spacing w:line="240" w:lineRule="auto"/>
        <w:rPr>
          <w:rFonts w:ascii="Times New Roman" w:hAnsi="Times New Roman" w:cs="Times New Roman"/>
          <w:sz w:val="24"/>
          <w:szCs w:val="24"/>
        </w:rPr>
      </w:pPr>
      <w:r w:rsidRPr="00210992">
        <w:rPr>
          <w:rFonts w:ascii="Times New Roman" w:hAnsi="Times New Roman" w:cs="Times New Roman"/>
          <w:sz w:val="24"/>
          <w:szCs w:val="24"/>
        </w:rPr>
        <w:t>Where a new office bearer is concerned, a reference to any specific information in the party’s compliance record, such as consistent late lodgement, consistent omission of particular information on disclosure returns, accompanied by an offer to provide assistance to help and a reminder of any penalties; and</w:t>
      </w:r>
    </w:p>
    <w:p w:rsidR="001E3E7B" w:rsidRPr="00210992" w:rsidRDefault="001E3E7B" w:rsidP="001E3E7B">
      <w:pPr>
        <w:pStyle w:val="ListParagraph"/>
        <w:rPr>
          <w:rFonts w:ascii="Times New Roman" w:hAnsi="Times New Roman" w:cs="Times New Roman"/>
          <w:sz w:val="24"/>
          <w:szCs w:val="24"/>
        </w:rPr>
      </w:pPr>
    </w:p>
    <w:p w:rsidR="00691D08" w:rsidRPr="00691D08" w:rsidRDefault="001E3E7B" w:rsidP="00691D08">
      <w:pPr>
        <w:pStyle w:val="ListParagraph"/>
        <w:numPr>
          <w:ilvl w:val="0"/>
          <w:numId w:val="9"/>
        </w:numPr>
        <w:spacing w:line="240" w:lineRule="auto"/>
        <w:rPr>
          <w:rFonts w:ascii="Times New Roman" w:hAnsi="Times New Roman" w:cs="Times New Roman"/>
          <w:sz w:val="24"/>
          <w:szCs w:val="24"/>
        </w:rPr>
      </w:pPr>
      <w:r w:rsidRPr="00210992">
        <w:rPr>
          <w:rFonts w:ascii="Times New Roman" w:hAnsi="Times New Roman" w:cs="Times New Roman"/>
          <w:sz w:val="24"/>
          <w:szCs w:val="24"/>
        </w:rPr>
        <w:t>Information about the types of financial records that would be useful to maintain to allow for the timely lodgement of annual returns and to allow for compliance reviews to be performed in as short as possible a timeframe and an offer to provide on-site assistance or a presentation in this respect.  There is reference to the need to keep records to meet the financial disclosure obligation but there are no specific details in this respect.</w:t>
      </w:r>
    </w:p>
    <w:p w:rsidR="00F801D5" w:rsidRDefault="001E3E7B" w:rsidP="00F54B1E">
      <w:pPr>
        <w:pStyle w:val="Heading2"/>
        <w:numPr>
          <w:ilvl w:val="1"/>
          <w:numId w:val="28"/>
        </w:numPr>
        <w:ind w:left="567" w:hanging="567"/>
        <w:rPr>
          <w:rFonts w:ascii="Times New Roman" w:hAnsi="Times New Roman" w:cs="Times New Roman"/>
          <w:b w:val="0"/>
          <w:color w:val="000000" w:themeColor="text1"/>
          <w:sz w:val="24"/>
          <w:szCs w:val="24"/>
        </w:rPr>
      </w:pPr>
      <w:bookmarkStart w:id="155" w:name="_Toc339541005"/>
      <w:r w:rsidRPr="008E1356">
        <w:rPr>
          <w:rFonts w:ascii="Times New Roman" w:hAnsi="Times New Roman" w:cs="Times New Roman"/>
          <w:b w:val="0"/>
          <w:color w:val="000000" w:themeColor="text1"/>
          <w:sz w:val="24"/>
          <w:szCs w:val="24"/>
        </w:rPr>
        <w:t xml:space="preserve">The disclosure section and compliance section could then follow-up this initial contact with a phone-call or other additional contact and work together to meet the political party’s request.  </w:t>
      </w:r>
    </w:p>
    <w:p w:rsidR="00F801D5" w:rsidRPr="00F801D5" w:rsidRDefault="00F801D5" w:rsidP="00F801D5"/>
    <w:p w:rsidR="00F54B1E" w:rsidRPr="00F54B1E" w:rsidRDefault="001E3E7B" w:rsidP="00F54B1E">
      <w:pPr>
        <w:pStyle w:val="Heading2"/>
        <w:numPr>
          <w:ilvl w:val="1"/>
          <w:numId w:val="28"/>
        </w:numPr>
        <w:ind w:left="567" w:hanging="567"/>
        <w:rPr>
          <w:rFonts w:ascii="Times New Roman" w:hAnsi="Times New Roman" w:cs="Times New Roman"/>
          <w:b w:val="0"/>
          <w:color w:val="000000" w:themeColor="text1"/>
          <w:sz w:val="24"/>
          <w:szCs w:val="24"/>
        </w:rPr>
      </w:pPr>
      <w:r w:rsidRPr="008E1356">
        <w:rPr>
          <w:rFonts w:ascii="Times New Roman" w:hAnsi="Times New Roman" w:cs="Times New Roman"/>
          <w:b w:val="0"/>
          <w:color w:val="000000" w:themeColor="text1"/>
          <w:sz w:val="24"/>
          <w:szCs w:val="24"/>
        </w:rPr>
        <w:lastRenderedPageBreak/>
        <w:t>The Director of the compliance area asserted that he and his staff have conducted presentations on disclosure and compliance matters in combination with ‘exit interviews’ as part of a compliance review.  However this practice is seemingly reactive rather than proactive and there is room for broader application throughout the areas that comprise the FAD section.</w:t>
      </w:r>
      <w:bookmarkEnd w:id="155"/>
      <w:r w:rsidRPr="008E1356">
        <w:rPr>
          <w:rFonts w:ascii="Times New Roman" w:hAnsi="Times New Roman" w:cs="Times New Roman"/>
          <w:b w:val="0"/>
          <w:color w:val="000000" w:themeColor="text1"/>
          <w:sz w:val="24"/>
          <w:szCs w:val="24"/>
        </w:rPr>
        <w:t xml:space="preserve"> </w:t>
      </w:r>
    </w:p>
    <w:p w:rsidR="00F54B1E" w:rsidRPr="00DE6E1C" w:rsidRDefault="00F54B1E" w:rsidP="00DE6E1C">
      <w:pPr>
        <w:pStyle w:val="Heading3"/>
        <w:rPr>
          <w:rFonts w:ascii="Times New Roman" w:hAnsi="Times New Roman" w:cs="Times New Roman"/>
          <w:color w:val="auto"/>
        </w:rPr>
      </w:pPr>
      <w:r w:rsidRPr="00DE6E1C">
        <w:rPr>
          <w:rFonts w:ascii="Times New Roman" w:hAnsi="Times New Roman" w:cs="Times New Roman"/>
          <w:color w:val="auto"/>
        </w:rPr>
        <w:t>Collaboration when stakeholders are informed of their disclosure obligations</w:t>
      </w:r>
    </w:p>
    <w:p w:rsidR="001E3E7B" w:rsidRPr="00F54B1E" w:rsidRDefault="001E3E7B" w:rsidP="00F54B1E">
      <w:pPr>
        <w:pStyle w:val="Heading2"/>
        <w:numPr>
          <w:ilvl w:val="1"/>
          <w:numId w:val="28"/>
        </w:numPr>
        <w:ind w:left="567" w:hanging="567"/>
        <w:rPr>
          <w:rFonts w:ascii="Times New Roman" w:hAnsi="Times New Roman" w:cs="Times New Roman"/>
          <w:b w:val="0"/>
          <w:color w:val="auto"/>
        </w:rPr>
      </w:pPr>
      <w:r w:rsidRPr="00F54B1E">
        <w:rPr>
          <w:rFonts w:ascii="Times New Roman" w:hAnsi="Times New Roman" w:cs="Times New Roman"/>
          <w:b w:val="0"/>
          <w:color w:val="auto"/>
          <w:sz w:val="24"/>
          <w:szCs w:val="24"/>
        </w:rPr>
        <w:t>The information listed above could also be reiterated in the letters outlining the disclosure obligations of clients as well as in the reminder letter that is sent as the statutory deadline is approaching.  Overall the information in letters sent out when a party is first registered, when a new party agent is appointed and when clients are informed of their disclosure obligation the information should be consistent as far as is possible and relevant.  Correspondence should also include information about all areas of FAD business.  For example, the letter sent to political parties informing them of their financial disclosure obligations currently makes no mention of the fact that they may be subject to a compliance review.</w:t>
      </w:r>
    </w:p>
    <w:p w:rsidR="001E3E7B"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56" w:name="_Toc339541007"/>
      <w:r w:rsidRPr="008E1356">
        <w:rPr>
          <w:rFonts w:ascii="Times New Roman" w:hAnsi="Times New Roman" w:cs="Times New Roman"/>
          <w:b w:val="0"/>
          <w:color w:val="000000" w:themeColor="text1"/>
          <w:sz w:val="24"/>
          <w:szCs w:val="24"/>
        </w:rPr>
        <w:t>Mechanisms would need to be put into place to manage this and to guide the use of information on past history with meeting disclosure obligations.</w:t>
      </w:r>
      <w:bookmarkEnd w:id="156"/>
      <w:r w:rsidRPr="008E1356">
        <w:rPr>
          <w:rFonts w:ascii="Times New Roman" w:hAnsi="Times New Roman" w:cs="Times New Roman"/>
          <w:b w:val="0"/>
          <w:color w:val="000000" w:themeColor="text1"/>
          <w:sz w:val="24"/>
          <w:szCs w:val="24"/>
        </w:rPr>
        <w:t xml:space="preserve">   </w:t>
      </w:r>
    </w:p>
    <w:p w:rsidR="00F54B1E" w:rsidRPr="00DE6E1C" w:rsidRDefault="00F54B1E" w:rsidP="00DE6E1C">
      <w:pPr>
        <w:pStyle w:val="Heading3"/>
        <w:rPr>
          <w:rFonts w:ascii="Times New Roman" w:hAnsi="Times New Roman" w:cs="Times New Roman"/>
          <w:color w:val="auto"/>
        </w:rPr>
      </w:pPr>
      <w:r w:rsidRPr="00DE6E1C">
        <w:rPr>
          <w:rFonts w:ascii="Times New Roman" w:hAnsi="Times New Roman" w:cs="Times New Roman"/>
          <w:color w:val="auto"/>
        </w:rPr>
        <w:t>Collaboration in the administration of the compliance scheme</w:t>
      </w:r>
    </w:p>
    <w:p w:rsidR="00F801D5" w:rsidRDefault="001E3E7B" w:rsidP="00F54B1E">
      <w:pPr>
        <w:pStyle w:val="Heading2"/>
        <w:numPr>
          <w:ilvl w:val="1"/>
          <w:numId w:val="28"/>
        </w:numPr>
        <w:ind w:left="567" w:hanging="567"/>
        <w:rPr>
          <w:rFonts w:ascii="Times New Roman" w:hAnsi="Times New Roman" w:cs="Times New Roman"/>
          <w:b w:val="0"/>
          <w:color w:val="auto"/>
          <w:sz w:val="24"/>
          <w:szCs w:val="24"/>
        </w:rPr>
      </w:pPr>
      <w:r w:rsidRPr="00F54B1E">
        <w:rPr>
          <w:rFonts w:ascii="Times New Roman" w:hAnsi="Times New Roman" w:cs="Times New Roman"/>
          <w:b w:val="0"/>
          <w:color w:val="auto"/>
          <w:sz w:val="24"/>
          <w:szCs w:val="24"/>
        </w:rPr>
        <w:t xml:space="preserve">In a practical sense, the disclosure area has considerable interaction with the clients until the point at which the statutory deadline approaches and clients lodge their returns. The contact often continues after the return is lodged to ensure it includes all the legislatively required information. </w:t>
      </w:r>
    </w:p>
    <w:p w:rsidR="00F801D5" w:rsidRDefault="001E3E7B" w:rsidP="00F54B1E">
      <w:pPr>
        <w:pStyle w:val="Heading2"/>
        <w:numPr>
          <w:ilvl w:val="1"/>
          <w:numId w:val="28"/>
        </w:numPr>
        <w:ind w:left="567" w:hanging="567"/>
        <w:rPr>
          <w:rFonts w:ascii="Times New Roman" w:hAnsi="Times New Roman" w:cs="Times New Roman"/>
          <w:b w:val="0"/>
          <w:color w:val="auto"/>
          <w:sz w:val="24"/>
          <w:szCs w:val="24"/>
        </w:rPr>
      </w:pPr>
      <w:r w:rsidRPr="00F54B1E">
        <w:rPr>
          <w:rFonts w:ascii="Times New Roman" w:hAnsi="Times New Roman" w:cs="Times New Roman"/>
          <w:b w:val="0"/>
          <w:color w:val="auto"/>
          <w:sz w:val="24"/>
          <w:szCs w:val="24"/>
        </w:rPr>
        <w:t xml:space="preserve">In many cases, staff in the disclosure area have the opportunity to obtain familiarity with the office bearers and the nature of the organisation in a manner that the compliance area do not experience.  </w:t>
      </w:r>
      <w:r w:rsidR="00F75999" w:rsidRPr="00F54B1E">
        <w:rPr>
          <w:rFonts w:ascii="Times New Roman" w:hAnsi="Times New Roman" w:cs="Times New Roman"/>
          <w:b w:val="0"/>
          <w:color w:val="auto"/>
          <w:sz w:val="24"/>
          <w:szCs w:val="24"/>
        </w:rPr>
        <w:t xml:space="preserve">The information and insight the disclosure team obtain would be particularly useful to the compliance team in formulating their strategies and informing the determination of their review ‘targets’ if a more targeted approach to the use of section 316(2A) is taken.  </w:t>
      </w:r>
    </w:p>
    <w:p w:rsidR="00F54B1E" w:rsidRPr="005C3961" w:rsidRDefault="00F75999" w:rsidP="00F54B1E">
      <w:pPr>
        <w:pStyle w:val="Heading2"/>
        <w:numPr>
          <w:ilvl w:val="1"/>
          <w:numId w:val="28"/>
        </w:numPr>
        <w:ind w:left="567" w:hanging="567"/>
        <w:rPr>
          <w:rFonts w:ascii="Times New Roman" w:hAnsi="Times New Roman" w:cs="Times New Roman"/>
          <w:b w:val="0"/>
          <w:color w:val="auto"/>
          <w:sz w:val="24"/>
          <w:szCs w:val="24"/>
        </w:rPr>
      </w:pPr>
      <w:r w:rsidRPr="00F54B1E">
        <w:rPr>
          <w:rFonts w:ascii="Times New Roman" w:hAnsi="Times New Roman" w:cs="Times New Roman"/>
          <w:b w:val="0"/>
          <w:color w:val="auto"/>
          <w:sz w:val="24"/>
          <w:szCs w:val="24"/>
        </w:rPr>
        <w:t xml:space="preserve">For example, if the disclosure team encounters a political party or associated entity that is particularly resistant to meeting its disclosure obligation or appears to purposely omit legislatively required information, this may warrant consideration of their inclusion in compliance review targeting.  </w:t>
      </w:r>
    </w:p>
    <w:p w:rsidR="005C3961" w:rsidRDefault="001E3E7B" w:rsidP="00F801D5">
      <w:pPr>
        <w:pStyle w:val="Heading2"/>
        <w:numPr>
          <w:ilvl w:val="1"/>
          <w:numId w:val="28"/>
        </w:numPr>
        <w:ind w:left="567" w:hanging="567"/>
        <w:rPr>
          <w:rFonts w:ascii="Times New Roman" w:hAnsi="Times New Roman" w:cs="Times New Roman"/>
          <w:b w:val="0"/>
          <w:color w:val="000000" w:themeColor="text1"/>
          <w:sz w:val="24"/>
          <w:szCs w:val="24"/>
        </w:rPr>
      </w:pPr>
      <w:bookmarkStart w:id="157" w:name="_Toc339541009"/>
      <w:r w:rsidRPr="008E1356">
        <w:rPr>
          <w:rFonts w:ascii="Times New Roman" w:hAnsi="Times New Roman" w:cs="Times New Roman"/>
          <w:b w:val="0"/>
          <w:color w:val="000000" w:themeColor="text1"/>
          <w:sz w:val="24"/>
          <w:szCs w:val="24"/>
        </w:rPr>
        <w:t>Additionally, an important process that the disclosure section undertake each year involves writing to political parties to ask them to ‘declare’ their associated entities</w:t>
      </w:r>
      <w:r w:rsidR="00F3210E">
        <w:rPr>
          <w:rFonts w:ascii="Times New Roman" w:hAnsi="Times New Roman" w:cs="Times New Roman"/>
          <w:b w:val="0"/>
          <w:color w:val="000000" w:themeColor="text1"/>
          <w:sz w:val="24"/>
          <w:szCs w:val="24"/>
        </w:rPr>
        <w:t>.</w:t>
      </w:r>
      <w:r w:rsidR="0095204F" w:rsidRPr="008E1356">
        <w:rPr>
          <w:rStyle w:val="FootnoteReference"/>
          <w:rFonts w:ascii="Times New Roman" w:hAnsi="Times New Roman" w:cs="Times New Roman"/>
          <w:b w:val="0"/>
          <w:color w:val="000000" w:themeColor="text1"/>
          <w:sz w:val="24"/>
          <w:szCs w:val="24"/>
        </w:rPr>
        <w:footnoteReference w:id="49"/>
      </w:r>
      <w:r w:rsidRPr="008E1356">
        <w:rPr>
          <w:rFonts w:ascii="Times New Roman" w:hAnsi="Times New Roman" w:cs="Times New Roman"/>
          <w:b w:val="0"/>
          <w:color w:val="000000" w:themeColor="text1"/>
          <w:sz w:val="24"/>
          <w:szCs w:val="24"/>
        </w:rPr>
        <w:t xml:space="preserve">  </w:t>
      </w:r>
    </w:p>
    <w:p w:rsidR="005C3961" w:rsidRPr="005C3961" w:rsidRDefault="005C3961" w:rsidP="005C3961"/>
    <w:p w:rsidR="00F801D5" w:rsidRPr="00F801D5" w:rsidRDefault="001E3E7B" w:rsidP="00F801D5">
      <w:pPr>
        <w:pStyle w:val="Heading2"/>
        <w:numPr>
          <w:ilvl w:val="1"/>
          <w:numId w:val="28"/>
        </w:numPr>
        <w:ind w:left="567" w:hanging="567"/>
        <w:rPr>
          <w:rFonts w:ascii="Times New Roman" w:hAnsi="Times New Roman" w:cs="Times New Roman"/>
          <w:b w:val="0"/>
          <w:color w:val="000000" w:themeColor="text1"/>
          <w:sz w:val="24"/>
          <w:szCs w:val="24"/>
        </w:rPr>
      </w:pPr>
      <w:r w:rsidRPr="008E1356">
        <w:rPr>
          <w:rFonts w:ascii="Times New Roman" w:hAnsi="Times New Roman" w:cs="Times New Roman"/>
          <w:b w:val="0"/>
          <w:color w:val="000000" w:themeColor="text1"/>
          <w:sz w:val="24"/>
          <w:szCs w:val="24"/>
        </w:rPr>
        <w:lastRenderedPageBreak/>
        <w:t>The Director of the disclosure area stated that this was not a precise exercise because many political parties were not aware of any or all of their associated entities, but that there was still value in the process to use the information received at least as a guide to attempt to reach all associated entities that may have a disclosure obligation.</w:t>
      </w:r>
      <w:bookmarkEnd w:id="157"/>
    </w:p>
    <w:p w:rsidR="0050359E" w:rsidRDefault="001E3E7B" w:rsidP="0050359E">
      <w:pPr>
        <w:pStyle w:val="Heading2"/>
        <w:numPr>
          <w:ilvl w:val="1"/>
          <w:numId w:val="28"/>
        </w:numPr>
        <w:ind w:left="567" w:hanging="567"/>
        <w:rPr>
          <w:rFonts w:ascii="Times New Roman" w:hAnsi="Times New Roman" w:cs="Times New Roman"/>
          <w:b w:val="0"/>
          <w:color w:val="000000" w:themeColor="text1"/>
          <w:sz w:val="24"/>
          <w:szCs w:val="24"/>
        </w:rPr>
      </w:pPr>
      <w:bookmarkStart w:id="158" w:name="_Toc339541010"/>
      <w:r w:rsidRPr="008E1356">
        <w:rPr>
          <w:rFonts w:ascii="Times New Roman" w:hAnsi="Times New Roman" w:cs="Times New Roman"/>
          <w:b w:val="0"/>
          <w:color w:val="000000" w:themeColor="text1"/>
          <w:sz w:val="24"/>
          <w:szCs w:val="24"/>
        </w:rPr>
        <w:t xml:space="preserve">Section 316(3A) of the Electoral Act confers upon the </w:t>
      </w:r>
      <w:r w:rsidR="00495542" w:rsidRPr="008E1356">
        <w:rPr>
          <w:rFonts w:ascii="Times New Roman" w:hAnsi="Times New Roman" w:cs="Times New Roman"/>
          <w:b w:val="0"/>
          <w:color w:val="000000" w:themeColor="text1"/>
          <w:sz w:val="24"/>
          <w:szCs w:val="24"/>
        </w:rPr>
        <w:t>Commission</w:t>
      </w:r>
      <w:r w:rsidRPr="008E1356">
        <w:rPr>
          <w:rFonts w:ascii="Times New Roman" w:hAnsi="Times New Roman" w:cs="Times New Roman"/>
          <w:b w:val="0"/>
          <w:color w:val="000000" w:themeColor="text1"/>
          <w:sz w:val="24"/>
          <w:szCs w:val="24"/>
        </w:rPr>
        <w:t xml:space="preserve"> the power to compel documents and other forms of evidence to determine whether a body is an associated entity under the legislation.  It seems that the information gathered by the disclosure section, while not completely determinative, would be useful for the compliance area in determining whether the exercise of the section 316(3A) power is necessary.</w:t>
      </w:r>
      <w:bookmarkEnd w:id="158"/>
    </w:p>
    <w:p w:rsidR="00F54B1E" w:rsidRPr="00DE6E1C" w:rsidRDefault="00F54B1E" w:rsidP="00DE6E1C">
      <w:pPr>
        <w:pStyle w:val="Heading3"/>
        <w:rPr>
          <w:rFonts w:ascii="Times New Roman" w:hAnsi="Times New Roman" w:cs="Times New Roman"/>
          <w:color w:val="auto"/>
        </w:rPr>
      </w:pPr>
      <w:r w:rsidRPr="00DE6E1C">
        <w:rPr>
          <w:rFonts w:ascii="Times New Roman" w:hAnsi="Times New Roman" w:cs="Times New Roman"/>
          <w:color w:val="auto"/>
        </w:rPr>
        <w:t>Collaboration in enhancing the FAD educative role</w:t>
      </w:r>
    </w:p>
    <w:p w:rsidR="003B5A48" w:rsidRPr="00F54B1E" w:rsidRDefault="007A7663" w:rsidP="00F54B1E">
      <w:pPr>
        <w:pStyle w:val="Heading2"/>
        <w:numPr>
          <w:ilvl w:val="1"/>
          <w:numId w:val="28"/>
        </w:numPr>
        <w:ind w:left="567" w:hanging="567"/>
        <w:rPr>
          <w:rFonts w:ascii="Times New Roman" w:hAnsi="Times New Roman" w:cs="Times New Roman"/>
          <w:b w:val="0"/>
          <w:color w:val="auto"/>
        </w:rPr>
      </w:pPr>
      <w:r w:rsidRPr="00F54B1E">
        <w:rPr>
          <w:rFonts w:ascii="Times New Roman" w:hAnsi="Times New Roman" w:cs="Times New Roman"/>
          <w:b w:val="0"/>
          <w:color w:val="auto"/>
          <w:sz w:val="24"/>
          <w:szCs w:val="24"/>
        </w:rPr>
        <w:t xml:space="preserve">This more proactive and targeted model of administering the disclosure and compliance function needs to be complemented by an enhanced educative component as a part of the section’s business.  </w:t>
      </w:r>
      <w:r w:rsidR="003B5A48" w:rsidRPr="00F54B1E">
        <w:rPr>
          <w:rFonts w:ascii="Times New Roman" w:hAnsi="Times New Roman" w:cs="Times New Roman"/>
          <w:b w:val="0"/>
          <w:color w:val="auto"/>
          <w:sz w:val="24"/>
          <w:szCs w:val="24"/>
        </w:rPr>
        <w:t>One potential option for enhanced educative measures to encourage voluntary compliance with the scheme could involve (in addition to the proactive measures outlined above) developing a strategy to engage political parties in the distribution of short summaries of disclosure obligations (developed by the FAD section) to people, organisations and other bodies that make donations to them</w:t>
      </w:r>
      <w:r w:rsidR="00F3210E" w:rsidRPr="00F54B1E">
        <w:rPr>
          <w:rFonts w:ascii="Times New Roman" w:hAnsi="Times New Roman" w:cs="Times New Roman"/>
          <w:b w:val="0"/>
          <w:color w:val="auto"/>
          <w:sz w:val="24"/>
          <w:szCs w:val="24"/>
        </w:rPr>
        <w:t>.</w:t>
      </w:r>
      <w:r w:rsidR="003B5A48" w:rsidRPr="00F54B1E">
        <w:rPr>
          <w:rStyle w:val="FootnoteReference"/>
          <w:rFonts w:ascii="Times New Roman" w:hAnsi="Times New Roman" w:cs="Times New Roman"/>
          <w:b w:val="0"/>
          <w:color w:val="auto"/>
          <w:sz w:val="24"/>
          <w:szCs w:val="24"/>
        </w:rPr>
        <w:footnoteReference w:id="50"/>
      </w:r>
      <w:r w:rsidR="003B5A48" w:rsidRPr="00F54B1E">
        <w:rPr>
          <w:rFonts w:ascii="Times New Roman" w:hAnsi="Times New Roman" w:cs="Times New Roman"/>
          <w:b w:val="0"/>
          <w:color w:val="auto"/>
          <w:sz w:val="24"/>
          <w:szCs w:val="24"/>
        </w:rPr>
        <w:t xml:space="preserve">  This would assist with building a relationship with some clients outside of the standard obligation letter sent annually which could potentially improve understanding of the obligations and assist with compliance.</w:t>
      </w:r>
    </w:p>
    <w:p w:rsidR="003B5A48" w:rsidRPr="008E1356" w:rsidRDefault="003B5A48"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59" w:name="_Toc339541012"/>
      <w:r w:rsidRPr="008E1356">
        <w:rPr>
          <w:rFonts w:ascii="Times New Roman" w:hAnsi="Times New Roman" w:cs="Times New Roman"/>
          <w:b w:val="0"/>
          <w:color w:val="000000" w:themeColor="text1"/>
          <w:sz w:val="24"/>
          <w:szCs w:val="24"/>
        </w:rPr>
        <w:t xml:space="preserve">The development of an engagement and communications strategy is an important first step in implementing these measures.  Such a strategy needs to </w:t>
      </w:r>
      <w:r w:rsidR="00B00313">
        <w:rPr>
          <w:rFonts w:ascii="Times New Roman" w:hAnsi="Times New Roman" w:cs="Times New Roman"/>
          <w:b w:val="0"/>
          <w:color w:val="000000" w:themeColor="text1"/>
          <w:sz w:val="24"/>
          <w:szCs w:val="24"/>
        </w:rPr>
        <w:t xml:space="preserve">be </w:t>
      </w:r>
      <w:r w:rsidRPr="008E1356">
        <w:rPr>
          <w:rFonts w:ascii="Times New Roman" w:hAnsi="Times New Roman" w:cs="Times New Roman"/>
          <w:b w:val="0"/>
          <w:color w:val="000000" w:themeColor="text1"/>
          <w:sz w:val="24"/>
          <w:szCs w:val="24"/>
        </w:rPr>
        <w:t>developed collaboratively involving all areas that comprise the FAD section to ensure its effectiveness and it must be a whole of section priority for it to achieve its ends.</w:t>
      </w:r>
      <w:bookmarkEnd w:id="159"/>
      <w:r w:rsidRPr="008E1356">
        <w:rPr>
          <w:rFonts w:ascii="Times New Roman" w:hAnsi="Times New Roman" w:cs="Times New Roman"/>
          <w:b w:val="0"/>
          <w:color w:val="000000" w:themeColor="text1"/>
          <w:sz w:val="24"/>
          <w:szCs w:val="24"/>
        </w:rPr>
        <w:t xml:space="preserve">   </w:t>
      </w:r>
    </w:p>
    <w:p w:rsidR="00BB4284" w:rsidRDefault="001E3E7B" w:rsidP="00BB4284">
      <w:pPr>
        <w:pStyle w:val="Heading2"/>
        <w:numPr>
          <w:ilvl w:val="1"/>
          <w:numId w:val="28"/>
        </w:numPr>
        <w:ind w:left="567" w:hanging="567"/>
        <w:rPr>
          <w:rFonts w:ascii="Times New Roman" w:hAnsi="Times New Roman" w:cs="Times New Roman"/>
          <w:b w:val="0"/>
          <w:color w:val="000000" w:themeColor="text1"/>
          <w:sz w:val="24"/>
          <w:szCs w:val="24"/>
        </w:rPr>
      </w:pPr>
      <w:bookmarkStart w:id="160" w:name="_Toc339541013"/>
      <w:r w:rsidRPr="008E1356">
        <w:rPr>
          <w:rFonts w:ascii="Times New Roman" w:hAnsi="Times New Roman" w:cs="Times New Roman"/>
          <w:b w:val="0"/>
          <w:color w:val="000000" w:themeColor="text1"/>
          <w:sz w:val="24"/>
          <w:szCs w:val="24"/>
        </w:rPr>
        <w:t>The matters discussed above are in no means an exhaustive list of the ways in which the section can better collaborate.  However, it does seem clear that closer integration and collaboration between the areas would significantly increase capability in terms of effectively administering the Commonwealth disclosure and compliance scheme.</w:t>
      </w:r>
      <w:bookmarkEnd w:id="160"/>
    </w:p>
    <w:p w:rsidR="00F54B1E" w:rsidRDefault="00F54B1E" w:rsidP="00F54B1E"/>
    <w:p w:rsidR="00F54B1E" w:rsidRDefault="00F54B1E" w:rsidP="00F54B1E"/>
    <w:p w:rsidR="00F54B1E" w:rsidRDefault="00F54B1E" w:rsidP="00F54B1E"/>
    <w:p w:rsidR="00F54B1E" w:rsidRDefault="00F54B1E" w:rsidP="00F54B1E"/>
    <w:p w:rsidR="00F54B1E" w:rsidRPr="00F54B1E" w:rsidRDefault="00F54B1E" w:rsidP="00F54B1E">
      <w:pPr>
        <w:pStyle w:val="Heading2"/>
        <w:rPr>
          <w:rFonts w:ascii="Times New Roman" w:hAnsi="Times New Roman" w:cs="Times New Roman"/>
          <w:color w:val="auto"/>
        </w:rPr>
      </w:pPr>
      <w:r w:rsidRPr="00F54B1E">
        <w:rPr>
          <w:rFonts w:ascii="Times New Roman" w:hAnsi="Times New Roman" w:cs="Times New Roman"/>
          <w:color w:val="auto"/>
        </w:rPr>
        <w:lastRenderedPageBreak/>
        <w:t>The FAD IT System</w:t>
      </w:r>
    </w:p>
    <w:p w:rsidR="001E3E7B" w:rsidRPr="00F54B1E" w:rsidRDefault="001E3E7B" w:rsidP="00F54B1E">
      <w:pPr>
        <w:pStyle w:val="Heading2"/>
        <w:numPr>
          <w:ilvl w:val="1"/>
          <w:numId w:val="28"/>
        </w:numPr>
        <w:ind w:left="567" w:hanging="567"/>
        <w:rPr>
          <w:rFonts w:ascii="Times New Roman" w:hAnsi="Times New Roman" w:cs="Times New Roman"/>
          <w:b w:val="0"/>
          <w:color w:val="auto"/>
        </w:rPr>
      </w:pPr>
      <w:r w:rsidRPr="00F54B1E">
        <w:rPr>
          <w:rFonts w:ascii="Times New Roman" w:hAnsi="Times New Roman" w:cs="Times New Roman"/>
          <w:b w:val="0"/>
          <w:color w:val="auto"/>
          <w:sz w:val="24"/>
          <w:szCs w:val="24"/>
        </w:rPr>
        <w:t>In approximately early 2009 the Director of the Disclosure section initiated a project to develop and implement an online lodgement system for those with disclosure obligations.  The IT system also includes a work management system for FAD staff intended to be used for their day-to-day tasks.</w:t>
      </w:r>
    </w:p>
    <w:p w:rsidR="001E3E7B" w:rsidRPr="008E1356" w:rsidRDefault="001E3E7B" w:rsidP="008E1356">
      <w:pPr>
        <w:pStyle w:val="Heading2"/>
        <w:numPr>
          <w:ilvl w:val="1"/>
          <w:numId w:val="28"/>
        </w:numPr>
        <w:ind w:left="567" w:hanging="567"/>
        <w:rPr>
          <w:rFonts w:ascii="Times New Roman" w:hAnsi="Times New Roman" w:cs="Times New Roman"/>
          <w:b w:val="0"/>
          <w:color w:val="000000" w:themeColor="text1"/>
          <w:sz w:val="24"/>
          <w:szCs w:val="24"/>
        </w:rPr>
      </w:pPr>
      <w:bookmarkStart w:id="161" w:name="_Toc339541015"/>
      <w:r w:rsidRPr="008E1356">
        <w:rPr>
          <w:rFonts w:ascii="Times New Roman" w:hAnsi="Times New Roman" w:cs="Times New Roman"/>
          <w:b w:val="0"/>
          <w:color w:val="000000" w:themeColor="text1"/>
          <w:sz w:val="24"/>
          <w:szCs w:val="24"/>
        </w:rPr>
        <w:t xml:space="preserve">During the course of the review, it also became clear that the main </w:t>
      </w:r>
      <w:r w:rsidR="000417F6" w:rsidRPr="008E1356">
        <w:rPr>
          <w:rFonts w:ascii="Times New Roman" w:hAnsi="Times New Roman" w:cs="Times New Roman"/>
          <w:b w:val="0"/>
          <w:color w:val="000000" w:themeColor="text1"/>
          <w:sz w:val="24"/>
          <w:szCs w:val="24"/>
        </w:rPr>
        <w:t xml:space="preserve">internal </w:t>
      </w:r>
      <w:r w:rsidRPr="008E1356">
        <w:rPr>
          <w:rFonts w:ascii="Times New Roman" w:hAnsi="Times New Roman" w:cs="Times New Roman"/>
          <w:b w:val="0"/>
          <w:color w:val="000000" w:themeColor="text1"/>
          <w:sz w:val="24"/>
          <w:szCs w:val="24"/>
        </w:rPr>
        <w:t>users of the new IT system were junior staff in the disclosure area.  Outside of this, the take-up within the FAD as a whole has been also low.</w:t>
      </w:r>
      <w:bookmarkEnd w:id="161"/>
    </w:p>
    <w:p w:rsidR="00781D0C" w:rsidRDefault="001E3E7B" w:rsidP="00781D0C">
      <w:pPr>
        <w:pStyle w:val="Heading2"/>
        <w:numPr>
          <w:ilvl w:val="1"/>
          <w:numId w:val="28"/>
        </w:numPr>
        <w:ind w:left="567" w:hanging="567"/>
        <w:rPr>
          <w:rFonts w:ascii="Times New Roman" w:hAnsi="Times New Roman" w:cs="Times New Roman"/>
          <w:b w:val="0"/>
          <w:color w:val="000000" w:themeColor="text1"/>
          <w:sz w:val="24"/>
          <w:szCs w:val="24"/>
        </w:rPr>
      </w:pPr>
      <w:bookmarkStart w:id="162" w:name="_Toc339541016"/>
      <w:r w:rsidRPr="008E1356">
        <w:rPr>
          <w:rFonts w:ascii="Times New Roman" w:hAnsi="Times New Roman" w:cs="Times New Roman"/>
          <w:b w:val="0"/>
          <w:color w:val="000000" w:themeColor="text1"/>
          <w:sz w:val="24"/>
          <w:szCs w:val="24"/>
        </w:rPr>
        <w:t>Accordingly, there are two separate issues where encouraging use of the IT system is concerned:</w:t>
      </w:r>
      <w:bookmarkEnd w:id="162"/>
    </w:p>
    <w:p w:rsidR="0044574E" w:rsidRPr="0044574E" w:rsidRDefault="0044574E" w:rsidP="0044574E">
      <w:pPr>
        <w:spacing w:after="0"/>
      </w:pPr>
    </w:p>
    <w:p w:rsidR="00986285" w:rsidRDefault="001E3E7B" w:rsidP="00A86F14">
      <w:pPr>
        <w:pStyle w:val="ListParagraph"/>
        <w:numPr>
          <w:ilvl w:val="0"/>
          <w:numId w:val="5"/>
        </w:numPr>
        <w:spacing w:line="240" w:lineRule="auto"/>
        <w:rPr>
          <w:rFonts w:ascii="Times New Roman" w:hAnsi="Times New Roman" w:cs="Times New Roman"/>
          <w:sz w:val="24"/>
          <w:szCs w:val="24"/>
        </w:rPr>
      </w:pPr>
      <w:r w:rsidRPr="00210992">
        <w:rPr>
          <w:rFonts w:ascii="Times New Roman" w:hAnsi="Times New Roman" w:cs="Times New Roman"/>
          <w:sz w:val="24"/>
          <w:szCs w:val="24"/>
        </w:rPr>
        <w:t>Encouraging take-up by external stakeholders such as political parties, associated entities and donors</w:t>
      </w:r>
      <w:r w:rsidR="006E573D">
        <w:rPr>
          <w:rFonts w:ascii="Times New Roman" w:hAnsi="Times New Roman" w:cs="Times New Roman"/>
          <w:sz w:val="24"/>
          <w:szCs w:val="24"/>
        </w:rPr>
        <w:t xml:space="preserve"> (this issue needs to be addressed</w:t>
      </w:r>
      <w:r w:rsidR="00A86F14">
        <w:rPr>
          <w:rFonts w:ascii="Times New Roman" w:hAnsi="Times New Roman" w:cs="Times New Roman"/>
          <w:sz w:val="24"/>
          <w:szCs w:val="24"/>
        </w:rPr>
        <w:t xml:space="preserve"> through a concerted effort</w:t>
      </w:r>
      <w:r w:rsidR="006E573D">
        <w:rPr>
          <w:rFonts w:ascii="Times New Roman" w:hAnsi="Times New Roman" w:cs="Times New Roman"/>
          <w:sz w:val="24"/>
          <w:szCs w:val="24"/>
        </w:rPr>
        <w:t xml:space="preserve"> by the section </w:t>
      </w:r>
      <w:r w:rsidR="00A86F14">
        <w:rPr>
          <w:rFonts w:ascii="Times New Roman" w:hAnsi="Times New Roman" w:cs="Times New Roman"/>
          <w:sz w:val="24"/>
          <w:szCs w:val="24"/>
        </w:rPr>
        <w:t>and the development of workable</w:t>
      </w:r>
      <w:r w:rsidR="006E573D">
        <w:rPr>
          <w:rFonts w:ascii="Times New Roman" w:hAnsi="Times New Roman" w:cs="Times New Roman"/>
          <w:sz w:val="24"/>
          <w:szCs w:val="24"/>
        </w:rPr>
        <w:t xml:space="preserve"> strategies and policies)</w:t>
      </w:r>
      <w:r w:rsidRPr="00210992">
        <w:rPr>
          <w:rFonts w:ascii="Times New Roman" w:hAnsi="Times New Roman" w:cs="Times New Roman"/>
          <w:sz w:val="24"/>
          <w:szCs w:val="24"/>
        </w:rPr>
        <w:t>.</w:t>
      </w:r>
    </w:p>
    <w:p w:rsidR="00894320" w:rsidRPr="00A86F14" w:rsidRDefault="00894320" w:rsidP="00894320">
      <w:pPr>
        <w:pStyle w:val="ListParagraph"/>
        <w:spacing w:line="240" w:lineRule="auto"/>
        <w:rPr>
          <w:rFonts w:ascii="Times New Roman" w:hAnsi="Times New Roman" w:cs="Times New Roman"/>
          <w:sz w:val="24"/>
          <w:szCs w:val="24"/>
        </w:rPr>
      </w:pPr>
    </w:p>
    <w:p w:rsidR="00986285" w:rsidRDefault="00986285" w:rsidP="00986285">
      <w:pPr>
        <w:pStyle w:val="ListParagraph"/>
        <w:numPr>
          <w:ilvl w:val="1"/>
          <w:numId w:val="5"/>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The take-up of the online lodgement system by those with disclosure obligations </w:t>
      </w:r>
      <w:r>
        <w:rPr>
          <w:rFonts w:ascii="Times New Roman" w:hAnsi="Times New Roman" w:cs="Times New Roman"/>
          <w:sz w:val="24"/>
          <w:szCs w:val="24"/>
        </w:rPr>
        <w:t>was</w:t>
      </w:r>
      <w:r w:rsidRPr="00210992">
        <w:rPr>
          <w:rFonts w:ascii="Times New Roman" w:hAnsi="Times New Roman" w:cs="Times New Roman"/>
          <w:sz w:val="24"/>
          <w:szCs w:val="24"/>
        </w:rPr>
        <w:t xml:space="preserve"> </w:t>
      </w:r>
      <w:r>
        <w:rPr>
          <w:rFonts w:ascii="Times New Roman" w:hAnsi="Times New Roman" w:cs="Times New Roman"/>
          <w:sz w:val="24"/>
          <w:szCs w:val="24"/>
        </w:rPr>
        <w:t xml:space="preserve">initially </w:t>
      </w:r>
      <w:r w:rsidRPr="00210992">
        <w:rPr>
          <w:rFonts w:ascii="Times New Roman" w:hAnsi="Times New Roman" w:cs="Times New Roman"/>
          <w:sz w:val="24"/>
          <w:szCs w:val="24"/>
        </w:rPr>
        <w:t>low</w:t>
      </w:r>
      <w:r w:rsidR="00A86F14">
        <w:rPr>
          <w:rFonts w:ascii="Times New Roman" w:hAnsi="Times New Roman" w:cs="Times New Roman"/>
          <w:sz w:val="24"/>
          <w:szCs w:val="24"/>
        </w:rPr>
        <w:t>,</w:t>
      </w:r>
      <w:r w:rsidRPr="00210992">
        <w:rPr>
          <w:rFonts w:ascii="Times New Roman" w:hAnsi="Times New Roman" w:cs="Times New Roman"/>
          <w:sz w:val="24"/>
          <w:szCs w:val="24"/>
        </w:rPr>
        <w:t xml:space="preserve"> </w:t>
      </w:r>
      <w:r w:rsidR="00A86F14">
        <w:rPr>
          <w:rFonts w:ascii="Times New Roman" w:hAnsi="Times New Roman" w:cs="Times New Roman"/>
          <w:sz w:val="24"/>
          <w:szCs w:val="24"/>
        </w:rPr>
        <w:t>and</w:t>
      </w:r>
      <w:r>
        <w:rPr>
          <w:rFonts w:ascii="Times New Roman" w:hAnsi="Times New Roman" w:cs="Times New Roman"/>
          <w:sz w:val="24"/>
          <w:szCs w:val="24"/>
        </w:rPr>
        <w:t xml:space="preserve"> is now</w:t>
      </w:r>
      <w:r w:rsidRPr="00210992">
        <w:rPr>
          <w:rFonts w:ascii="Times New Roman" w:hAnsi="Times New Roman" w:cs="Times New Roman"/>
          <w:sz w:val="24"/>
          <w:szCs w:val="24"/>
        </w:rPr>
        <w:t xml:space="preserve"> reportedly sitting at approximately </w:t>
      </w:r>
      <w:r>
        <w:rPr>
          <w:rFonts w:ascii="Times New Roman" w:hAnsi="Times New Roman" w:cs="Times New Roman"/>
          <w:sz w:val="24"/>
          <w:szCs w:val="24"/>
        </w:rPr>
        <w:t>45</w:t>
      </w:r>
      <w:r w:rsidRPr="00210992">
        <w:rPr>
          <w:rFonts w:ascii="Times New Roman" w:hAnsi="Times New Roman" w:cs="Times New Roman"/>
          <w:sz w:val="24"/>
          <w:szCs w:val="24"/>
        </w:rPr>
        <w:t>-</w:t>
      </w:r>
      <w:r>
        <w:rPr>
          <w:rFonts w:ascii="Times New Roman" w:hAnsi="Times New Roman" w:cs="Times New Roman"/>
          <w:sz w:val="24"/>
          <w:szCs w:val="24"/>
        </w:rPr>
        <w:t>5</w:t>
      </w:r>
      <w:r w:rsidR="00A86F14">
        <w:rPr>
          <w:rFonts w:ascii="Times New Roman" w:hAnsi="Times New Roman" w:cs="Times New Roman"/>
          <w:sz w:val="24"/>
          <w:szCs w:val="24"/>
        </w:rPr>
        <w:t>0%</w:t>
      </w:r>
      <w:r w:rsidR="0094703C">
        <w:rPr>
          <w:rFonts w:ascii="Times New Roman" w:hAnsi="Times New Roman" w:cs="Times New Roman"/>
          <w:sz w:val="24"/>
          <w:szCs w:val="24"/>
        </w:rPr>
        <w:t xml:space="preserve"> with each year showing an increase in the use of this facility</w:t>
      </w:r>
      <w:r w:rsidR="00A86F14">
        <w:rPr>
          <w:rFonts w:ascii="Times New Roman" w:hAnsi="Times New Roman" w:cs="Times New Roman"/>
          <w:sz w:val="24"/>
          <w:szCs w:val="24"/>
        </w:rPr>
        <w:t>;</w:t>
      </w:r>
      <w:r w:rsidRPr="00210992">
        <w:rPr>
          <w:rFonts w:ascii="Times New Roman" w:hAnsi="Times New Roman" w:cs="Times New Roman"/>
          <w:sz w:val="24"/>
          <w:szCs w:val="24"/>
        </w:rPr>
        <w:t xml:space="preserve"> </w:t>
      </w:r>
    </w:p>
    <w:p w:rsidR="00A86F14" w:rsidRDefault="00A86F14" w:rsidP="00A86F14">
      <w:pPr>
        <w:pStyle w:val="ListParagraph"/>
        <w:spacing w:line="240" w:lineRule="auto"/>
        <w:ind w:left="1440"/>
        <w:rPr>
          <w:rFonts w:ascii="Times New Roman" w:hAnsi="Times New Roman" w:cs="Times New Roman"/>
          <w:sz w:val="24"/>
          <w:szCs w:val="24"/>
        </w:rPr>
      </w:pPr>
    </w:p>
    <w:p w:rsidR="00A86F14" w:rsidRPr="00A86F14" w:rsidRDefault="00A86F14" w:rsidP="00A86F14">
      <w:pPr>
        <w:pStyle w:val="ListParagraph"/>
        <w:numPr>
          <w:ilvl w:val="1"/>
          <w:numId w:val="5"/>
        </w:numPr>
        <w:rPr>
          <w:rFonts w:ascii="Times New Roman" w:hAnsi="Times New Roman" w:cs="Times New Roman"/>
          <w:sz w:val="24"/>
          <w:szCs w:val="24"/>
        </w:rPr>
      </w:pPr>
      <w:r w:rsidRPr="00A86F14">
        <w:rPr>
          <w:rFonts w:ascii="Times New Roman" w:hAnsi="Times New Roman" w:cs="Times New Roman"/>
          <w:sz w:val="24"/>
          <w:szCs w:val="24"/>
        </w:rPr>
        <w:t>If legislative changes in the area of disclosure and compliance, current and proposed, are passed, there will be a clear move to electronic lodgement purely because the frequency of disclosure means the legislation cannot be administered without this.  An additional measure that would assist in the other issue of encouraging take-up by key stakeholders of the electronic lodgement facility would be to legislatively provide that electronic lodgement was compulsory.</w:t>
      </w:r>
    </w:p>
    <w:p w:rsidR="00986285" w:rsidRDefault="00986285" w:rsidP="00986285">
      <w:pPr>
        <w:pStyle w:val="ListParagraph"/>
        <w:spacing w:line="240" w:lineRule="auto"/>
        <w:ind w:left="1440"/>
        <w:rPr>
          <w:rFonts w:ascii="Times New Roman" w:hAnsi="Times New Roman" w:cs="Times New Roman"/>
          <w:sz w:val="24"/>
          <w:szCs w:val="24"/>
        </w:rPr>
      </w:pPr>
    </w:p>
    <w:p w:rsidR="00986285" w:rsidRPr="00986285" w:rsidRDefault="00986285" w:rsidP="00986285">
      <w:pPr>
        <w:pStyle w:val="ListParagraph"/>
        <w:numPr>
          <w:ilvl w:val="0"/>
          <w:numId w:val="5"/>
        </w:numPr>
        <w:spacing w:line="240" w:lineRule="auto"/>
        <w:rPr>
          <w:rFonts w:ascii="Times New Roman" w:hAnsi="Times New Roman" w:cs="Times New Roman"/>
          <w:sz w:val="24"/>
          <w:szCs w:val="24"/>
        </w:rPr>
      </w:pPr>
      <w:r w:rsidRPr="00210992">
        <w:rPr>
          <w:rFonts w:ascii="Times New Roman" w:hAnsi="Times New Roman" w:cs="Times New Roman"/>
          <w:sz w:val="24"/>
          <w:szCs w:val="24"/>
        </w:rPr>
        <w:t>Encouragin</w:t>
      </w:r>
      <w:r>
        <w:rPr>
          <w:rFonts w:ascii="Times New Roman" w:hAnsi="Times New Roman" w:cs="Times New Roman"/>
          <w:sz w:val="24"/>
          <w:szCs w:val="24"/>
        </w:rPr>
        <w:t>g take-up by internal FAD staff.</w:t>
      </w:r>
      <w:r w:rsidRPr="00210992">
        <w:rPr>
          <w:rFonts w:ascii="Times New Roman" w:hAnsi="Times New Roman" w:cs="Times New Roman"/>
          <w:sz w:val="24"/>
          <w:szCs w:val="24"/>
        </w:rPr>
        <w:t xml:space="preserve"> </w:t>
      </w:r>
    </w:p>
    <w:p w:rsidR="00781D0C" w:rsidRDefault="00081382" w:rsidP="00781D0C">
      <w:pPr>
        <w:pStyle w:val="Heading2"/>
        <w:numPr>
          <w:ilvl w:val="1"/>
          <w:numId w:val="28"/>
        </w:numPr>
        <w:ind w:left="567" w:hanging="567"/>
        <w:rPr>
          <w:rFonts w:ascii="Times New Roman" w:hAnsi="Times New Roman" w:cs="Times New Roman"/>
          <w:b w:val="0"/>
          <w:color w:val="000000" w:themeColor="text1"/>
          <w:sz w:val="24"/>
          <w:szCs w:val="24"/>
        </w:rPr>
      </w:pPr>
      <w:bookmarkStart w:id="163" w:name="_Toc339541017"/>
      <w:r w:rsidRPr="001970E2">
        <w:rPr>
          <w:rFonts w:ascii="Times New Roman" w:hAnsi="Times New Roman" w:cs="Times New Roman"/>
          <w:b w:val="0"/>
          <w:color w:val="000000" w:themeColor="text1"/>
          <w:sz w:val="24"/>
          <w:szCs w:val="24"/>
        </w:rPr>
        <w:t xml:space="preserve">The reasons for the poor </w:t>
      </w:r>
      <w:r w:rsidR="001E3E7B" w:rsidRPr="001970E2">
        <w:rPr>
          <w:rFonts w:ascii="Times New Roman" w:hAnsi="Times New Roman" w:cs="Times New Roman"/>
          <w:b w:val="0"/>
          <w:color w:val="000000" w:themeColor="text1"/>
          <w:sz w:val="24"/>
          <w:szCs w:val="24"/>
        </w:rPr>
        <w:t>take-up of the new work management system internally are many and varied.  Some reasons that were cited during the review follow:</w:t>
      </w:r>
      <w:bookmarkEnd w:id="163"/>
    </w:p>
    <w:p w:rsidR="0044574E" w:rsidRPr="0044574E" w:rsidRDefault="0044574E" w:rsidP="0044574E">
      <w:pPr>
        <w:spacing w:after="0"/>
      </w:pPr>
    </w:p>
    <w:p w:rsidR="001E3E7B" w:rsidRPr="00210992" w:rsidRDefault="001E3E7B" w:rsidP="001E3E7B">
      <w:pPr>
        <w:pStyle w:val="ListParagraph"/>
        <w:numPr>
          <w:ilvl w:val="0"/>
          <w:numId w:val="4"/>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Staff in the compliance area indicated that their reluctance to use the IT system stemmed from a belief that their needs were not prioritised when the system was developed.  The Directors of the section said that this was a budgetary decision. $2.3 million has now been spent on developing the system with some compliance features having been incorporated.  </w:t>
      </w:r>
    </w:p>
    <w:p w:rsidR="001E3E7B" w:rsidRPr="00210992" w:rsidRDefault="001E3E7B" w:rsidP="001E3E7B">
      <w:pPr>
        <w:pStyle w:val="ListParagraph"/>
        <w:rPr>
          <w:rFonts w:ascii="Times New Roman" w:hAnsi="Times New Roman" w:cs="Times New Roman"/>
          <w:sz w:val="24"/>
          <w:szCs w:val="24"/>
        </w:rPr>
      </w:pPr>
    </w:p>
    <w:p w:rsidR="001E3E7B" w:rsidRPr="00210992" w:rsidRDefault="001E3E7B" w:rsidP="001E3E7B">
      <w:pPr>
        <w:pStyle w:val="ListParagraph"/>
        <w:numPr>
          <w:ilvl w:val="0"/>
          <w:numId w:val="4"/>
        </w:numPr>
        <w:spacing w:line="240" w:lineRule="auto"/>
        <w:rPr>
          <w:rFonts w:ascii="Times New Roman" w:hAnsi="Times New Roman" w:cs="Times New Roman"/>
          <w:sz w:val="24"/>
          <w:szCs w:val="24"/>
        </w:rPr>
      </w:pPr>
      <w:r w:rsidRPr="00210992">
        <w:rPr>
          <w:rFonts w:ascii="Times New Roman" w:hAnsi="Times New Roman" w:cs="Times New Roman"/>
          <w:sz w:val="24"/>
          <w:szCs w:val="24"/>
        </w:rPr>
        <w:t xml:space="preserve">It was also stated that the compliance area has two existing systems/software packages necessary for their work.  To then be required to use a third system to fit in with the disclosure area was impractical for their needs.  </w:t>
      </w:r>
    </w:p>
    <w:p w:rsidR="001E3E7B" w:rsidRPr="00210992" w:rsidRDefault="001E3E7B" w:rsidP="001E3E7B">
      <w:pPr>
        <w:pStyle w:val="ListParagraph"/>
        <w:rPr>
          <w:rFonts w:ascii="Times New Roman" w:hAnsi="Times New Roman" w:cs="Times New Roman"/>
          <w:sz w:val="24"/>
          <w:szCs w:val="24"/>
        </w:rPr>
      </w:pPr>
    </w:p>
    <w:p w:rsidR="001970E2" w:rsidRPr="001970E2" w:rsidRDefault="003E41C4" w:rsidP="00691D08">
      <w:pPr>
        <w:pStyle w:val="ListParagraph"/>
        <w:numPr>
          <w:ilvl w:val="1"/>
          <w:numId w:val="28"/>
        </w:numPr>
        <w:spacing w:after="0"/>
        <w:ind w:left="567" w:hanging="567"/>
        <w:rPr>
          <w:rFonts w:ascii="Times New Roman" w:hAnsi="Times New Roman" w:cs="Times New Roman"/>
          <w:color w:val="000000" w:themeColor="text1"/>
          <w:sz w:val="24"/>
          <w:szCs w:val="24"/>
        </w:rPr>
      </w:pPr>
      <w:r w:rsidRPr="001970E2">
        <w:rPr>
          <w:rFonts w:ascii="Times New Roman" w:hAnsi="Times New Roman" w:cs="Times New Roman"/>
          <w:sz w:val="24"/>
          <w:szCs w:val="24"/>
        </w:rPr>
        <w:lastRenderedPageBreak/>
        <w:t>The audit report by P</w:t>
      </w:r>
      <w:r w:rsidR="000372CA" w:rsidRPr="001970E2">
        <w:rPr>
          <w:rFonts w:ascii="Times New Roman" w:hAnsi="Times New Roman" w:cs="Times New Roman"/>
          <w:sz w:val="24"/>
          <w:szCs w:val="24"/>
        </w:rPr>
        <w:t>wC</w:t>
      </w:r>
      <w:r w:rsidR="001E3E7B" w:rsidRPr="001970E2">
        <w:rPr>
          <w:rFonts w:ascii="Times New Roman" w:hAnsi="Times New Roman" w:cs="Times New Roman"/>
          <w:i/>
          <w:sz w:val="24"/>
          <w:szCs w:val="24"/>
        </w:rPr>
        <w:t xml:space="preserve"> </w:t>
      </w:r>
      <w:r w:rsidR="001E3E7B" w:rsidRPr="001970E2">
        <w:rPr>
          <w:rFonts w:ascii="Times New Roman" w:hAnsi="Times New Roman" w:cs="Times New Roman"/>
          <w:sz w:val="24"/>
          <w:szCs w:val="24"/>
        </w:rPr>
        <w:t>indicates that there is potentially a duplication of effort in some compliance activities due to different software and computer systems and methodology being used by the three areas that make up the Funding and Disclosure Section.  The compliance area are still using Microsoft Excel spread sheets and re-keying some financial information they receive from those they review, which adds to their workload.</w:t>
      </w:r>
    </w:p>
    <w:p w:rsidR="001970E2" w:rsidRPr="001970E2" w:rsidRDefault="001970E2" w:rsidP="001970E2">
      <w:pPr>
        <w:spacing w:after="0" w:line="240" w:lineRule="auto"/>
        <w:rPr>
          <w:rFonts w:ascii="Times New Roman" w:hAnsi="Times New Roman" w:cs="Times New Roman"/>
          <w:color w:val="000000" w:themeColor="text1"/>
          <w:sz w:val="24"/>
          <w:szCs w:val="24"/>
        </w:rPr>
      </w:pPr>
    </w:p>
    <w:p w:rsidR="001970E2" w:rsidRDefault="001E3E7B" w:rsidP="00691D08">
      <w:pPr>
        <w:pStyle w:val="ListParagraph"/>
        <w:numPr>
          <w:ilvl w:val="1"/>
          <w:numId w:val="28"/>
        </w:numPr>
        <w:ind w:left="567" w:hanging="567"/>
        <w:rPr>
          <w:rFonts w:ascii="Times New Roman" w:hAnsi="Times New Roman" w:cs="Times New Roman"/>
          <w:color w:val="000000" w:themeColor="text1"/>
          <w:sz w:val="24"/>
          <w:szCs w:val="24"/>
        </w:rPr>
      </w:pPr>
      <w:r w:rsidRPr="001970E2">
        <w:rPr>
          <w:rFonts w:ascii="Times New Roman" w:hAnsi="Times New Roman" w:cs="Times New Roman"/>
          <w:color w:val="000000" w:themeColor="text1"/>
          <w:sz w:val="24"/>
          <w:szCs w:val="24"/>
        </w:rPr>
        <w:t xml:space="preserve">Some compliance staff have started using the system but are still under-skilled in its use.  The disclosure staff members stated that since the system went live in July 2010, there have been ‘three or four’ training sessions for compliance staff.  </w:t>
      </w:r>
    </w:p>
    <w:p w:rsidR="001970E2" w:rsidRPr="001970E2" w:rsidRDefault="001970E2" w:rsidP="001970E2">
      <w:pPr>
        <w:pStyle w:val="ListParagraph"/>
        <w:rPr>
          <w:rFonts w:ascii="Times New Roman" w:hAnsi="Times New Roman" w:cs="Times New Roman"/>
          <w:color w:val="000000" w:themeColor="text1"/>
          <w:sz w:val="24"/>
          <w:szCs w:val="24"/>
        </w:rPr>
      </w:pPr>
    </w:p>
    <w:p w:rsidR="001970E2" w:rsidRDefault="001E3E7B" w:rsidP="00691D08">
      <w:pPr>
        <w:pStyle w:val="ListParagraph"/>
        <w:numPr>
          <w:ilvl w:val="1"/>
          <w:numId w:val="28"/>
        </w:numPr>
        <w:ind w:left="567" w:hanging="567"/>
        <w:rPr>
          <w:rFonts w:ascii="Times New Roman" w:hAnsi="Times New Roman" w:cs="Times New Roman"/>
          <w:color w:val="000000" w:themeColor="text1"/>
          <w:sz w:val="24"/>
          <w:szCs w:val="24"/>
        </w:rPr>
      </w:pPr>
      <w:r w:rsidRPr="001970E2">
        <w:rPr>
          <w:rFonts w:ascii="Times New Roman" w:hAnsi="Times New Roman" w:cs="Times New Roman"/>
          <w:color w:val="000000" w:themeColor="text1"/>
          <w:sz w:val="24"/>
          <w:szCs w:val="24"/>
        </w:rPr>
        <w:t xml:space="preserve">If the </w:t>
      </w:r>
      <w:r w:rsidR="00495542" w:rsidRPr="001970E2">
        <w:rPr>
          <w:rFonts w:ascii="Times New Roman" w:hAnsi="Times New Roman" w:cs="Times New Roman"/>
          <w:color w:val="000000" w:themeColor="text1"/>
          <w:sz w:val="24"/>
          <w:szCs w:val="24"/>
        </w:rPr>
        <w:t>Commission</w:t>
      </w:r>
      <w:r w:rsidRPr="001970E2">
        <w:rPr>
          <w:rFonts w:ascii="Times New Roman" w:hAnsi="Times New Roman" w:cs="Times New Roman"/>
          <w:color w:val="000000" w:themeColor="text1"/>
          <w:sz w:val="24"/>
          <w:szCs w:val="24"/>
        </w:rPr>
        <w:t xml:space="preserve"> implements the recommendation in this report for a dedicated branch head position to oversee the Funding and Disclosure function, a key responsibility will be to oversight and drive a change management process to achieve unanimity in relation to the IT system functionality and future development to meet joint and individual needs of all three areas of the new FAD branch.</w:t>
      </w:r>
    </w:p>
    <w:p w:rsidR="001970E2" w:rsidRPr="001970E2" w:rsidRDefault="001970E2" w:rsidP="001970E2">
      <w:pPr>
        <w:pStyle w:val="ListParagraph"/>
        <w:rPr>
          <w:rFonts w:ascii="Times New Roman" w:hAnsi="Times New Roman" w:cs="Times New Roman"/>
          <w:color w:val="000000" w:themeColor="text1"/>
          <w:sz w:val="24"/>
          <w:szCs w:val="24"/>
        </w:rPr>
      </w:pPr>
    </w:p>
    <w:p w:rsidR="001970E2" w:rsidRDefault="001E3E7B" w:rsidP="001970E2">
      <w:pPr>
        <w:pStyle w:val="ListParagraph"/>
        <w:numPr>
          <w:ilvl w:val="1"/>
          <w:numId w:val="28"/>
        </w:numPr>
        <w:spacing w:line="240" w:lineRule="auto"/>
        <w:ind w:left="567" w:hanging="567"/>
        <w:rPr>
          <w:rFonts w:ascii="Times New Roman" w:hAnsi="Times New Roman" w:cs="Times New Roman"/>
          <w:color w:val="000000" w:themeColor="text1"/>
          <w:sz w:val="24"/>
          <w:szCs w:val="24"/>
        </w:rPr>
      </w:pPr>
      <w:r w:rsidRPr="001970E2">
        <w:rPr>
          <w:rFonts w:ascii="Times New Roman" w:hAnsi="Times New Roman" w:cs="Times New Roman"/>
          <w:color w:val="000000" w:themeColor="text1"/>
          <w:sz w:val="24"/>
          <w:szCs w:val="24"/>
        </w:rPr>
        <w:t xml:space="preserve">This </w:t>
      </w:r>
      <w:r w:rsidR="00D01E62" w:rsidRPr="001970E2">
        <w:rPr>
          <w:rFonts w:ascii="Times New Roman" w:hAnsi="Times New Roman" w:cs="Times New Roman"/>
          <w:color w:val="000000" w:themeColor="text1"/>
          <w:sz w:val="24"/>
          <w:szCs w:val="24"/>
        </w:rPr>
        <w:t>unanimity can</w:t>
      </w:r>
      <w:r w:rsidRPr="001970E2">
        <w:rPr>
          <w:rFonts w:ascii="Times New Roman" w:hAnsi="Times New Roman" w:cs="Times New Roman"/>
          <w:color w:val="000000" w:themeColor="text1"/>
          <w:sz w:val="24"/>
          <w:szCs w:val="24"/>
        </w:rPr>
        <w:t xml:space="preserve"> be achieved through some initial steps.  </w:t>
      </w:r>
    </w:p>
    <w:p w:rsidR="001970E2" w:rsidRPr="001970E2" w:rsidRDefault="001970E2" w:rsidP="001970E2">
      <w:pPr>
        <w:pStyle w:val="ListParagraph"/>
        <w:rPr>
          <w:rFonts w:ascii="Times New Roman" w:hAnsi="Times New Roman" w:cs="Times New Roman"/>
          <w:color w:val="000000" w:themeColor="text1"/>
          <w:sz w:val="24"/>
          <w:szCs w:val="24"/>
        </w:rPr>
      </w:pPr>
    </w:p>
    <w:p w:rsidR="001970E2" w:rsidRDefault="001E3E7B" w:rsidP="00691D08">
      <w:pPr>
        <w:pStyle w:val="ListParagraph"/>
        <w:numPr>
          <w:ilvl w:val="1"/>
          <w:numId w:val="28"/>
        </w:numPr>
        <w:ind w:left="567" w:hanging="567"/>
        <w:rPr>
          <w:rFonts w:ascii="Times New Roman" w:hAnsi="Times New Roman" w:cs="Times New Roman"/>
          <w:color w:val="000000" w:themeColor="text1"/>
          <w:sz w:val="24"/>
          <w:szCs w:val="24"/>
        </w:rPr>
      </w:pPr>
      <w:r w:rsidRPr="001970E2">
        <w:rPr>
          <w:rFonts w:ascii="Times New Roman" w:hAnsi="Times New Roman" w:cs="Times New Roman"/>
          <w:color w:val="000000" w:themeColor="text1"/>
          <w:sz w:val="24"/>
          <w:szCs w:val="24"/>
        </w:rPr>
        <w:t xml:space="preserve">The Director of the compliance area highlighted that section 316(2D) of the Electoral Act, which requires that an ‘investigation’ </w:t>
      </w:r>
      <w:r w:rsidR="0095204F" w:rsidRPr="001970E2">
        <w:rPr>
          <w:rFonts w:ascii="Times New Roman" w:hAnsi="Times New Roman" w:cs="Times New Roman"/>
          <w:color w:val="000000" w:themeColor="text1"/>
          <w:sz w:val="24"/>
          <w:szCs w:val="24"/>
        </w:rPr>
        <w:t xml:space="preserve">be conducted of gifts of $25 000 or more, </w:t>
      </w:r>
      <w:r w:rsidRPr="001970E2">
        <w:rPr>
          <w:rFonts w:ascii="Times New Roman" w:hAnsi="Times New Roman" w:cs="Times New Roman"/>
          <w:color w:val="000000" w:themeColor="text1"/>
          <w:sz w:val="24"/>
          <w:szCs w:val="24"/>
        </w:rPr>
        <w:t>was applied ‘incidentally’ as a part of compliance procedures in applying section 31</w:t>
      </w:r>
      <w:r w:rsidR="00986285" w:rsidRPr="001970E2">
        <w:rPr>
          <w:rFonts w:ascii="Times New Roman" w:hAnsi="Times New Roman" w:cs="Times New Roman"/>
          <w:color w:val="000000" w:themeColor="text1"/>
          <w:sz w:val="24"/>
          <w:szCs w:val="24"/>
        </w:rPr>
        <w:t>6(2A).  A step in the compliance teams processes involves extracting a</w:t>
      </w:r>
      <w:r w:rsidRPr="001970E2">
        <w:rPr>
          <w:rFonts w:ascii="Times New Roman" w:hAnsi="Times New Roman" w:cs="Times New Roman"/>
          <w:color w:val="000000" w:themeColor="text1"/>
          <w:sz w:val="24"/>
          <w:szCs w:val="24"/>
        </w:rPr>
        <w:t xml:space="preserve"> ‘donor discrepancy report’ from the current IT system which shows every ‘mismatch’ between disclosures of donors and those of political parties and associated entities.  He stated that th</w:t>
      </w:r>
      <w:r w:rsidR="00081382" w:rsidRPr="001970E2">
        <w:rPr>
          <w:rFonts w:ascii="Times New Roman" w:hAnsi="Times New Roman" w:cs="Times New Roman"/>
          <w:color w:val="000000" w:themeColor="text1"/>
          <w:sz w:val="24"/>
          <w:szCs w:val="24"/>
        </w:rPr>
        <w:t>e</w:t>
      </w:r>
      <w:r w:rsidRPr="001970E2">
        <w:rPr>
          <w:rFonts w:ascii="Times New Roman" w:hAnsi="Times New Roman" w:cs="Times New Roman"/>
          <w:color w:val="000000" w:themeColor="text1"/>
          <w:sz w:val="24"/>
          <w:szCs w:val="24"/>
        </w:rPr>
        <w:t xml:space="preserve"> compliance area follows up all discrepancies both above and below $25 000.  However, he also indicated that the report brought up erroneous data and required enhancement to remove this to be fully </w:t>
      </w:r>
      <w:r w:rsidR="00D01E62" w:rsidRPr="001970E2">
        <w:rPr>
          <w:rFonts w:ascii="Times New Roman" w:hAnsi="Times New Roman" w:cs="Times New Roman"/>
          <w:color w:val="000000" w:themeColor="text1"/>
          <w:sz w:val="24"/>
          <w:szCs w:val="24"/>
        </w:rPr>
        <w:t xml:space="preserve">useful to the compliance area.  </w:t>
      </w:r>
      <w:r w:rsidRPr="001970E2">
        <w:rPr>
          <w:rFonts w:ascii="Times New Roman" w:hAnsi="Times New Roman" w:cs="Times New Roman"/>
          <w:color w:val="000000" w:themeColor="text1"/>
          <w:sz w:val="24"/>
          <w:szCs w:val="24"/>
        </w:rPr>
        <w:t>This could be an area of focus and an opportunity for initial engagement and collaboration between two of the FAD areas to achieve a common end.</w:t>
      </w:r>
    </w:p>
    <w:p w:rsidR="001970E2" w:rsidRPr="001970E2" w:rsidRDefault="001970E2" w:rsidP="001970E2">
      <w:pPr>
        <w:pStyle w:val="ListParagraph"/>
        <w:rPr>
          <w:rFonts w:ascii="Times New Roman" w:hAnsi="Times New Roman" w:cs="Times New Roman"/>
          <w:color w:val="000000" w:themeColor="text1"/>
          <w:sz w:val="24"/>
          <w:szCs w:val="24"/>
        </w:rPr>
      </w:pPr>
    </w:p>
    <w:p w:rsidR="000372CA" w:rsidRPr="001970E2" w:rsidRDefault="000372CA" w:rsidP="001970E2">
      <w:pPr>
        <w:pStyle w:val="ListParagraph"/>
        <w:numPr>
          <w:ilvl w:val="1"/>
          <w:numId w:val="28"/>
        </w:numPr>
        <w:spacing w:line="240" w:lineRule="auto"/>
        <w:ind w:left="567" w:hanging="567"/>
        <w:rPr>
          <w:rFonts w:ascii="Times New Roman" w:hAnsi="Times New Roman" w:cs="Times New Roman"/>
          <w:color w:val="000000" w:themeColor="text1"/>
          <w:sz w:val="24"/>
          <w:szCs w:val="24"/>
        </w:rPr>
      </w:pPr>
      <w:r w:rsidRPr="001970E2">
        <w:rPr>
          <w:rFonts w:ascii="Times New Roman" w:hAnsi="Times New Roman" w:cs="Times New Roman"/>
          <w:color w:val="000000" w:themeColor="text1"/>
          <w:sz w:val="24"/>
          <w:szCs w:val="24"/>
        </w:rPr>
        <w:t>Despite the ‘incidental’ description of the nature of the checks undertaken of gifts of $25 000 or more as part of the electronic matching that occurs as a matter of course with all disclosure returns and the specific follow-up of all that indicate ‘mismatches’, this process meets in a minimum fashion the ‘investigation’ obligation is section 316(2D)</w:t>
      </w:r>
      <w:r w:rsidR="00F3210E">
        <w:rPr>
          <w:rFonts w:ascii="Times New Roman" w:hAnsi="Times New Roman" w:cs="Times New Roman"/>
          <w:color w:val="000000" w:themeColor="text1"/>
          <w:sz w:val="24"/>
          <w:szCs w:val="24"/>
        </w:rPr>
        <w:t>.</w:t>
      </w:r>
      <w:r w:rsidRPr="009D7212">
        <w:rPr>
          <w:rStyle w:val="FootnoteReference"/>
          <w:rFonts w:ascii="Times New Roman" w:hAnsi="Times New Roman" w:cs="Times New Roman"/>
          <w:color w:val="000000" w:themeColor="text1"/>
          <w:sz w:val="24"/>
          <w:szCs w:val="24"/>
        </w:rPr>
        <w:footnoteReference w:id="51"/>
      </w:r>
    </w:p>
    <w:p w:rsidR="001E3E7B" w:rsidRPr="001970E2" w:rsidRDefault="0095204F" w:rsidP="001970E2">
      <w:pPr>
        <w:pStyle w:val="Heading2"/>
        <w:numPr>
          <w:ilvl w:val="1"/>
          <w:numId w:val="28"/>
        </w:numPr>
        <w:ind w:left="567" w:hanging="567"/>
        <w:rPr>
          <w:rFonts w:ascii="Times New Roman" w:hAnsi="Times New Roman" w:cs="Times New Roman"/>
          <w:b w:val="0"/>
          <w:color w:val="000000" w:themeColor="text1"/>
          <w:sz w:val="24"/>
          <w:szCs w:val="24"/>
        </w:rPr>
      </w:pPr>
      <w:bookmarkStart w:id="164" w:name="_Toc339541018"/>
      <w:r w:rsidRPr="001970E2">
        <w:rPr>
          <w:rFonts w:ascii="Times New Roman" w:hAnsi="Times New Roman" w:cs="Times New Roman"/>
          <w:b w:val="0"/>
          <w:color w:val="000000" w:themeColor="text1"/>
          <w:sz w:val="24"/>
          <w:szCs w:val="24"/>
        </w:rPr>
        <w:t xml:space="preserve">A </w:t>
      </w:r>
      <w:r w:rsidR="001E3E7B" w:rsidRPr="001970E2">
        <w:rPr>
          <w:rFonts w:ascii="Times New Roman" w:hAnsi="Times New Roman" w:cs="Times New Roman"/>
          <w:b w:val="0"/>
          <w:color w:val="000000" w:themeColor="text1"/>
          <w:sz w:val="24"/>
          <w:szCs w:val="24"/>
        </w:rPr>
        <w:t>second, more fundamental step in this respect is for staff in the area to be involved closely with putting together a new list of IT requirements that reflect a more integrated model of operations.</w:t>
      </w:r>
      <w:bookmarkEnd w:id="164"/>
      <w:r w:rsidR="001E3E7B" w:rsidRPr="001970E2">
        <w:rPr>
          <w:rFonts w:ascii="Times New Roman" w:hAnsi="Times New Roman" w:cs="Times New Roman"/>
          <w:b w:val="0"/>
          <w:color w:val="000000" w:themeColor="text1"/>
          <w:sz w:val="24"/>
          <w:szCs w:val="24"/>
        </w:rPr>
        <w:t xml:space="preserve">  </w:t>
      </w:r>
    </w:p>
    <w:p w:rsidR="00045A1E" w:rsidRDefault="00045A1E" w:rsidP="001E3E7B">
      <w:pPr>
        <w:rPr>
          <w:rFonts w:ascii="Times New Roman" w:hAnsi="Times New Roman" w:cs="Times New Roman"/>
          <w:sz w:val="24"/>
          <w:szCs w:val="24"/>
        </w:rPr>
      </w:pPr>
    </w:p>
    <w:p w:rsidR="00384119" w:rsidRDefault="00384119" w:rsidP="00C9247A">
      <w:pPr>
        <w:pStyle w:val="Heading1"/>
        <w:rPr>
          <w:rFonts w:ascii="Times New Roman" w:hAnsi="Times New Roman" w:cs="Times New Roman"/>
          <w:color w:val="auto"/>
        </w:rPr>
      </w:pPr>
      <w:bookmarkStart w:id="165" w:name="_Toc339541019"/>
      <w:r>
        <w:rPr>
          <w:rFonts w:ascii="Times New Roman" w:hAnsi="Times New Roman" w:cs="Times New Roman"/>
          <w:color w:val="auto"/>
        </w:rPr>
        <w:lastRenderedPageBreak/>
        <w:t>Part 4: PricewaterhouseCoopers report</w:t>
      </w:r>
      <w:bookmarkEnd w:id="165"/>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384119" w:rsidRDefault="00384119" w:rsidP="00045A1E">
      <w:pPr>
        <w:pStyle w:val="Heading1"/>
        <w:rPr>
          <w:rFonts w:ascii="Times New Roman" w:hAnsi="Times New Roman" w:cs="Times New Roman"/>
          <w:color w:val="auto"/>
        </w:rPr>
      </w:pPr>
    </w:p>
    <w:p w:rsidR="00431048" w:rsidRDefault="00431048" w:rsidP="00431048"/>
    <w:p w:rsidR="001E3E7B" w:rsidRPr="00210992" w:rsidRDefault="001E3E7B" w:rsidP="001E3E7B">
      <w:pPr>
        <w:rPr>
          <w:rFonts w:ascii="Times New Roman" w:hAnsi="Times New Roman" w:cs="Times New Roman"/>
          <w:b/>
          <w:sz w:val="24"/>
          <w:szCs w:val="24"/>
        </w:rPr>
      </w:pPr>
    </w:p>
    <w:p w:rsidR="001E3E7B" w:rsidRPr="00210992" w:rsidRDefault="001E3E7B" w:rsidP="001E3E7B">
      <w:pPr>
        <w:rPr>
          <w:rFonts w:ascii="Times New Roman" w:hAnsi="Times New Roman" w:cs="Times New Roman"/>
          <w:b/>
          <w:sz w:val="24"/>
          <w:szCs w:val="24"/>
        </w:rPr>
      </w:pPr>
    </w:p>
    <w:p w:rsidR="001E3E7B" w:rsidRPr="00210992" w:rsidRDefault="001E3E7B" w:rsidP="001E3E7B">
      <w:pPr>
        <w:jc w:val="center"/>
        <w:rPr>
          <w:rFonts w:ascii="Times New Roman" w:hAnsi="Times New Roman" w:cs="Times New Roman"/>
          <w:b/>
          <w:sz w:val="24"/>
          <w:szCs w:val="24"/>
        </w:rPr>
      </w:pPr>
    </w:p>
    <w:p w:rsidR="001E3E7B" w:rsidRPr="00E77C6F" w:rsidRDefault="001E3E7B" w:rsidP="001E3E7B">
      <w:pPr>
        <w:rPr>
          <w:rFonts w:ascii="Times New Roman" w:hAnsi="Times New Roman" w:cs="Times New Roman"/>
          <w:sz w:val="24"/>
          <w:szCs w:val="24"/>
        </w:rPr>
      </w:pPr>
    </w:p>
    <w:p w:rsidR="00495542" w:rsidRDefault="00495542"/>
    <w:sectPr w:rsidR="00495542" w:rsidSect="0059334F">
      <w:footerReference w:type="default" r:id="rId9"/>
      <w:headerReference w:type="first" r:id="rId10"/>
      <w:type w:val="continuous"/>
      <w:pgSz w:w="11906" w:h="16838"/>
      <w:pgMar w:top="1418" w:right="1440" w:bottom="1702"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F5" w:rsidRDefault="00A45EF5" w:rsidP="001E3E7B">
      <w:pPr>
        <w:spacing w:after="0" w:line="240" w:lineRule="auto"/>
      </w:pPr>
      <w:r>
        <w:separator/>
      </w:r>
    </w:p>
  </w:endnote>
  <w:endnote w:type="continuationSeparator" w:id="0">
    <w:p w:rsidR="00A45EF5" w:rsidRDefault="00A45EF5" w:rsidP="001E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080904"/>
      <w:docPartObj>
        <w:docPartGallery w:val="Page Numbers (Bottom of Page)"/>
        <w:docPartUnique/>
      </w:docPartObj>
    </w:sdtPr>
    <w:sdtEndPr>
      <w:rPr>
        <w:rFonts w:ascii="Times New Roman" w:hAnsi="Times New Roman" w:cs="Times New Roman"/>
        <w:noProof/>
      </w:rPr>
    </w:sdtEndPr>
    <w:sdtContent>
      <w:p w:rsidR="00026039" w:rsidRPr="00A87CC9" w:rsidRDefault="00026039">
        <w:pPr>
          <w:pStyle w:val="Footer"/>
          <w:jc w:val="right"/>
          <w:rPr>
            <w:rFonts w:ascii="Times New Roman" w:hAnsi="Times New Roman" w:cs="Times New Roman"/>
          </w:rPr>
        </w:pPr>
        <w:r>
          <w:fldChar w:fldCharType="begin"/>
        </w:r>
        <w:r>
          <w:instrText xml:space="preserve"> PAGE   \* MERGEFORMAT </w:instrText>
        </w:r>
        <w:r>
          <w:fldChar w:fldCharType="separate"/>
        </w:r>
        <w:r w:rsidR="00431E3C" w:rsidRPr="00431E3C">
          <w:rPr>
            <w:rFonts w:ascii="Times New Roman" w:hAnsi="Times New Roman" w:cs="Times New Roman"/>
            <w:noProof/>
          </w:rPr>
          <w:t>56</w:t>
        </w:r>
        <w:r>
          <w:rPr>
            <w:rFonts w:ascii="Times New Roman" w:hAnsi="Times New Roman" w:cs="Times New Roman"/>
            <w:noProof/>
          </w:rPr>
          <w:fldChar w:fldCharType="end"/>
        </w:r>
      </w:p>
    </w:sdtContent>
  </w:sdt>
  <w:p w:rsidR="00026039" w:rsidRDefault="00026039" w:rsidP="000D25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F5" w:rsidRDefault="00A45EF5" w:rsidP="001E3E7B">
      <w:pPr>
        <w:spacing w:after="0" w:line="240" w:lineRule="auto"/>
      </w:pPr>
      <w:r>
        <w:separator/>
      </w:r>
    </w:p>
  </w:footnote>
  <w:footnote w:type="continuationSeparator" w:id="0">
    <w:p w:rsidR="00A45EF5" w:rsidRDefault="00A45EF5" w:rsidP="001E3E7B">
      <w:pPr>
        <w:spacing w:after="0" w:line="240" w:lineRule="auto"/>
      </w:pPr>
      <w:r>
        <w:continuationSeparator/>
      </w:r>
    </w:p>
  </w:footnote>
  <w:footnote w:id="1">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The process surrounding follow-up of implementation of recommendations resulting from audits of various business areas is managed by the Commission’s internal audit committee, known as the Business Assurance Committee.</w:t>
      </w:r>
    </w:p>
  </w:footnote>
  <w:footnote w:id="2">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See generally </w:t>
      </w:r>
      <w:r w:rsidRPr="00512764">
        <w:rPr>
          <w:rFonts w:ascii="Times New Roman" w:hAnsi="Times New Roman" w:cs="Times New Roman"/>
          <w:i/>
          <w:sz w:val="16"/>
          <w:szCs w:val="16"/>
          <w:lang w:val="en-AU"/>
        </w:rPr>
        <w:t xml:space="preserve">Committee Hansard </w:t>
      </w:r>
      <w:r w:rsidRPr="00512764">
        <w:rPr>
          <w:rFonts w:ascii="Times New Roman" w:hAnsi="Times New Roman" w:cs="Times New Roman"/>
          <w:sz w:val="16"/>
          <w:szCs w:val="16"/>
          <w:lang w:val="en-AU"/>
        </w:rPr>
        <w:t xml:space="preserve">6 July 2012 and </w:t>
      </w:r>
      <w:r w:rsidRPr="00512764">
        <w:rPr>
          <w:rFonts w:ascii="Times New Roman" w:hAnsi="Times New Roman" w:cs="Times New Roman"/>
          <w:i/>
          <w:sz w:val="16"/>
          <w:szCs w:val="16"/>
          <w:lang w:val="en-AU"/>
        </w:rPr>
        <w:t xml:space="preserve">Committee Hansard </w:t>
      </w:r>
      <w:r w:rsidRPr="00512764">
        <w:rPr>
          <w:rFonts w:ascii="Times New Roman" w:hAnsi="Times New Roman" w:cs="Times New Roman"/>
          <w:sz w:val="16"/>
          <w:szCs w:val="16"/>
          <w:lang w:val="en-AU"/>
        </w:rPr>
        <w:t>16 July 2012.</w:t>
      </w:r>
    </w:p>
  </w:footnote>
  <w:footnote w:id="3">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See generally </w:t>
      </w:r>
      <w:r w:rsidRPr="00512764">
        <w:rPr>
          <w:rFonts w:ascii="Times New Roman" w:hAnsi="Times New Roman" w:cs="Times New Roman"/>
          <w:i/>
          <w:sz w:val="16"/>
          <w:szCs w:val="16"/>
        </w:rPr>
        <w:t xml:space="preserve">Estimates Hansard </w:t>
      </w:r>
      <w:r w:rsidRPr="00512764">
        <w:rPr>
          <w:rFonts w:ascii="Times New Roman" w:hAnsi="Times New Roman" w:cs="Times New Roman"/>
          <w:sz w:val="16"/>
          <w:szCs w:val="16"/>
        </w:rPr>
        <w:t>16 October 2012</w:t>
      </w:r>
      <w:r>
        <w:rPr>
          <w:rFonts w:ascii="Times New Roman" w:hAnsi="Times New Roman" w:cs="Times New Roman"/>
          <w:sz w:val="16"/>
          <w:szCs w:val="16"/>
        </w:rPr>
        <w:t xml:space="preserve">, </w:t>
      </w:r>
      <w:r w:rsidRPr="00512764">
        <w:rPr>
          <w:rFonts w:ascii="Times New Roman" w:hAnsi="Times New Roman" w:cs="Times New Roman"/>
          <w:sz w:val="16"/>
          <w:szCs w:val="16"/>
        </w:rPr>
        <w:t xml:space="preserve">pp. 92 </w:t>
      </w:r>
      <w:r>
        <w:rPr>
          <w:rFonts w:ascii="Times New Roman" w:hAnsi="Times New Roman" w:cs="Times New Roman"/>
          <w:sz w:val="16"/>
          <w:szCs w:val="16"/>
        </w:rPr>
        <w:t>–</w:t>
      </w:r>
      <w:r w:rsidRPr="00512764">
        <w:rPr>
          <w:rFonts w:ascii="Times New Roman" w:hAnsi="Times New Roman" w:cs="Times New Roman"/>
          <w:sz w:val="16"/>
          <w:szCs w:val="16"/>
        </w:rPr>
        <w:t xml:space="preserve"> 105</w:t>
      </w:r>
      <w:r>
        <w:rPr>
          <w:rFonts w:ascii="Times New Roman" w:hAnsi="Times New Roman" w:cs="Times New Roman"/>
          <w:sz w:val="16"/>
          <w:szCs w:val="16"/>
        </w:rPr>
        <w:t xml:space="preserve"> for discussion by the Electoral Commissioner at Senate Estimates regarding the circumstances giving rise to the review and broader issues</w:t>
      </w:r>
      <w:r w:rsidRPr="00512764">
        <w:rPr>
          <w:rFonts w:ascii="Times New Roman" w:hAnsi="Times New Roman" w:cs="Times New Roman"/>
          <w:sz w:val="16"/>
          <w:szCs w:val="16"/>
        </w:rPr>
        <w:t>.</w:t>
      </w:r>
    </w:p>
  </w:footnote>
  <w:footnote w:id="4">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The media and academia, as well as others that write on the issues, play a role here as well, in bringing to public attention particular aspects of the information made public by the Commission under Part XX of the Electoral Act.</w:t>
      </w:r>
    </w:p>
  </w:footnote>
  <w:footnote w:id="5">
    <w:p w:rsidR="00026039" w:rsidRPr="00512764" w:rsidRDefault="00026039" w:rsidP="00A675F7">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See generally Division 3 of the Electoral Act.</w:t>
      </w:r>
    </w:p>
  </w:footnote>
  <w:footnote w:id="6">
    <w:p w:rsidR="00026039" w:rsidRPr="00512764" w:rsidRDefault="00026039" w:rsidP="00A675F7">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Some of the smaller political parties may not necessarily support this view.</w:t>
      </w:r>
    </w:p>
  </w:footnote>
  <w:footnote w:id="7">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See for example Joint Standing Committee on Electoral Matters, </w:t>
      </w:r>
      <w:r w:rsidRPr="00512764">
        <w:rPr>
          <w:rFonts w:ascii="Times New Roman" w:hAnsi="Times New Roman" w:cs="Times New Roman"/>
          <w:i/>
          <w:sz w:val="16"/>
          <w:szCs w:val="16"/>
          <w:lang w:val="en-AU"/>
        </w:rPr>
        <w:t>Advisory report on the Commonwealth Electoral Amendment (Political Donations and Other Measures) Bill 2008</w:t>
      </w:r>
      <w:r w:rsidRPr="00512764">
        <w:rPr>
          <w:rFonts w:ascii="Times New Roman" w:hAnsi="Times New Roman" w:cs="Times New Roman"/>
          <w:sz w:val="16"/>
          <w:szCs w:val="16"/>
          <w:lang w:val="en-AU"/>
        </w:rPr>
        <w:t>, October 2008, Commonwea</w:t>
      </w:r>
      <w:r>
        <w:rPr>
          <w:rFonts w:ascii="Times New Roman" w:hAnsi="Times New Roman" w:cs="Times New Roman"/>
          <w:sz w:val="16"/>
          <w:szCs w:val="16"/>
          <w:lang w:val="en-AU"/>
        </w:rPr>
        <w:t xml:space="preserve">lth Parliament of Australia, </w:t>
      </w:r>
      <w:r w:rsidRPr="00512764">
        <w:rPr>
          <w:rFonts w:ascii="Times New Roman" w:hAnsi="Times New Roman" w:cs="Times New Roman"/>
          <w:sz w:val="16"/>
          <w:szCs w:val="16"/>
          <w:lang w:val="en-AU"/>
        </w:rPr>
        <w:t xml:space="preserve">p. 76 and Joint Standing Committee on Electoral Matters, </w:t>
      </w:r>
      <w:r w:rsidRPr="00512764">
        <w:rPr>
          <w:rFonts w:ascii="Times New Roman" w:hAnsi="Times New Roman" w:cs="Times New Roman"/>
          <w:i/>
          <w:sz w:val="16"/>
          <w:szCs w:val="16"/>
          <w:lang w:val="en-AU"/>
        </w:rPr>
        <w:t>Report on the funding of political parties and election campaigns</w:t>
      </w:r>
      <w:r w:rsidRPr="00512764">
        <w:rPr>
          <w:rFonts w:ascii="Times New Roman" w:hAnsi="Times New Roman" w:cs="Times New Roman"/>
          <w:sz w:val="16"/>
          <w:szCs w:val="16"/>
          <w:lang w:val="en-AU"/>
        </w:rPr>
        <w:t>, November 2011, Commonwealth Parliament of Australia, p. 209.</w:t>
      </w:r>
    </w:p>
  </w:footnote>
  <w:footnote w:id="8">
    <w:p w:rsidR="00026039" w:rsidRPr="00512764" w:rsidRDefault="00026039" w:rsidP="00F72092">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Who pays the piper calls the tune – minimising the risks of funding political campaigns, </w:t>
      </w:r>
      <w:r w:rsidRPr="00512764">
        <w:rPr>
          <w:rFonts w:ascii="Times New Roman" w:hAnsi="Times New Roman" w:cs="Times New Roman"/>
          <w:sz w:val="16"/>
          <w:szCs w:val="16"/>
          <w:lang w:val="en-AU"/>
        </w:rPr>
        <w:t>June 1989, Commonwealth Parliament of Australia, p. 75.</w:t>
      </w:r>
    </w:p>
  </w:footnote>
  <w:footnote w:id="9">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Who pays the piper calls the tune – minimising the risks of funding political campaigns, </w:t>
      </w:r>
      <w:r w:rsidRPr="00512764">
        <w:rPr>
          <w:rFonts w:ascii="Times New Roman" w:hAnsi="Times New Roman" w:cs="Times New Roman"/>
          <w:sz w:val="16"/>
          <w:szCs w:val="16"/>
          <w:lang w:val="en-AU"/>
        </w:rPr>
        <w:t>June 1989, Commonwealth Parliament of Australia, p. 75.</w:t>
      </w:r>
    </w:p>
  </w:footnote>
  <w:footnote w:id="10">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Who pays the piper calls the tune – minimising the risks of funding political campaigns, </w:t>
      </w:r>
      <w:r w:rsidRPr="00512764">
        <w:rPr>
          <w:rFonts w:ascii="Times New Roman" w:hAnsi="Times New Roman" w:cs="Times New Roman"/>
          <w:sz w:val="16"/>
          <w:szCs w:val="16"/>
          <w:lang w:val="en-AU"/>
        </w:rPr>
        <w:t>June 1989, Commonwealth Parliament of Australia, p. 76.</w:t>
      </w:r>
    </w:p>
  </w:footnote>
  <w:footnote w:id="11">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Who pays the piper calls the tune – minimising the risks of funding political campaigns, </w:t>
      </w:r>
      <w:r w:rsidRPr="00512764">
        <w:rPr>
          <w:rFonts w:ascii="Times New Roman" w:hAnsi="Times New Roman" w:cs="Times New Roman"/>
          <w:sz w:val="16"/>
          <w:szCs w:val="16"/>
          <w:lang w:val="en-AU"/>
        </w:rPr>
        <w:t>June 1989, Commonwealth Parliament of Australia, p. 76.</w:t>
      </w:r>
    </w:p>
  </w:footnote>
  <w:footnote w:id="12">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See section 315 of the Electoral Act.</w:t>
      </w:r>
    </w:p>
  </w:footnote>
  <w:footnote w:id="13">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See for example Recommendations 1 and 7 in Joint Standing Committee on Electoral Matters, </w:t>
      </w:r>
      <w:r w:rsidRPr="00512764">
        <w:rPr>
          <w:rFonts w:ascii="Times New Roman" w:hAnsi="Times New Roman" w:cs="Times New Roman"/>
          <w:i/>
          <w:sz w:val="16"/>
          <w:szCs w:val="16"/>
        </w:rPr>
        <w:t>Review of the Australian Electoral Commission’s analysis of the Fair Work Australia report on the Health Services Union</w:t>
      </w:r>
      <w:r w:rsidRPr="00512764">
        <w:rPr>
          <w:rFonts w:ascii="Times New Roman" w:hAnsi="Times New Roman" w:cs="Times New Roman"/>
          <w:sz w:val="16"/>
          <w:szCs w:val="16"/>
        </w:rPr>
        <w:t xml:space="preserve">, September 2012, Commonwealth Parliament of Australia, pp. </w:t>
      </w:r>
      <w:r w:rsidRPr="00512764">
        <w:rPr>
          <w:rFonts w:ascii="Times New Roman" w:hAnsi="Times New Roman" w:cs="Times New Roman"/>
          <w:i/>
          <w:sz w:val="16"/>
          <w:szCs w:val="16"/>
        </w:rPr>
        <w:t>xx-xxi</w:t>
      </w:r>
      <w:r w:rsidRPr="00512764">
        <w:rPr>
          <w:rFonts w:ascii="Times New Roman" w:hAnsi="Times New Roman" w:cs="Times New Roman"/>
          <w:sz w:val="16"/>
          <w:szCs w:val="16"/>
        </w:rPr>
        <w:t xml:space="preserve">, and Recommendations 26 and 27 in Joint Standing Committee on Electoral Matters, </w:t>
      </w:r>
      <w:r w:rsidRPr="00512764">
        <w:rPr>
          <w:rFonts w:ascii="Times New Roman" w:hAnsi="Times New Roman" w:cs="Times New Roman"/>
          <w:i/>
          <w:sz w:val="16"/>
          <w:szCs w:val="16"/>
        </w:rPr>
        <w:t>Report on the funding of political parties and election campaigns</w:t>
      </w:r>
      <w:r w:rsidRPr="00512764">
        <w:rPr>
          <w:rFonts w:ascii="Times New Roman" w:hAnsi="Times New Roman" w:cs="Times New Roman"/>
          <w:sz w:val="16"/>
          <w:szCs w:val="16"/>
        </w:rPr>
        <w:t xml:space="preserve">, November 2011, Commonwealth Parliament of Australia, p. </w:t>
      </w:r>
      <w:r w:rsidRPr="00512764">
        <w:rPr>
          <w:rFonts w:ascii="Times New Roman" w:hAnsi="Times New Roman" w:cs="Times New Roman"/>
          <w:i/>
          <w:sz w:val="16"/>
          <w:szCs w:val="16"/>
        </w:rPr>
        <w:t>xxxii</w:t>
      </w:r>
      <w:r w:rsidRPr="00512764">
        <w:rPr>
          <w:rFonts w:ascii="Times New Roman" w:hAnsi="Times New Roman" w:cs="Times New Roman"/>
          <w:sz w:val="16"/>
          <w:szCs w:val="16"/>
        </w:rPr>
        <w:t>.</w:t>
      </w:r>
    </w:p>
  </w:footnote>
  <w:footnote w:id="14">
    <w:p w:rsidR="00026039" w:rsidRPr="00512764" w:rsidRDefault="00026039" w:rsidP="00A376D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This bill is in substantially the same form as the Commonwealth Electoral Amendment (Political Donations and Other Measures) Bill 2008, which was again introduced in 2009 before the 2010 iteration following the commencement of the 43rd Parliament.  The 2008 bill was reviewed by the Joint Standing Committee on Electoral Matters in October 2008, with the </w:t>
      </w:r>
      <w:r w:rsidRPr="00512764">
        <w:rPr>
          <w:rFonts w:ascii="Times New Roman" w:hAnsi="Times New Roman" w:cs="Times New Roman"/>
          <w:i/>
          <w:sz w:val="16"/>
          <w:szCs w:val="16"/>
          <w:lang w:val="en-AU"/>
        </w:rPr>
        <w:t>Advisory report on the Commonwealth Electoral Amendment (Political Donations and Other Measures) Bill 2008</w:t>
      </w:r>
      <w:r w:rsidRPr="00512764">
        <w:rPr>
          <w:rFonts w:ascii="Times New Roman" w:hAnsi="Times New Roman" w:cs="Times New Roman"/>
          <w:sz w:val="16"/>
          <w:szCs w:val="16"/>
          <w:lang w:val="en-AU"/>
        </w:rPr>
        <w:t xml:space="preserve">, October 2008, Commonwealth Parliament of Australia available at </w:t>
      </w:r>
      <w:hyperlink r:id="rId1" w:history="1">
        <w:r w:rsidRPr="00512764">
          <w:rPr>
            <w:rStyle w:val="Hyperlink"/>
            <w:rFonts w:ascii="Times New Roman" w:hAnsi="Times New Roman" w:cs="Times New Roman"/>
            <w:sz w:val="16"/>
            <w:szCs w:val="16"/>
            <w:lang w:val="en-AU"/>
          </w:rPr>
          <w:t>http://www.aph.gov.au/Parliamentary_Business/Committees/House_of_Representatives_Committees?url=em/taxlawbill 2/report.htm</w:t>
        </w:r>
      </w:hyperlink>
      <w:r w:rsidRPr="00512764">
        <w:rPr>
          <w:rFonts w:ascii="Times New Roman" w:hAnsi="Times New Roman" w:cs="Times New Roman"/>
          <w:sz w:val="16"/>
          <w:szCs w:val="16"/>
          <w:lang w:val="en-AU"/>
        </w:rPr>
        <w:t xml:space="preserve"> . </w:t>
      </w:r>
      <w:r w:rsidRPr="00512764">
        <w:rPr>
          <w:rFonts w:ascii="Times New Roman" w:hAnsi="Times New Roman" w:cs="Times New Roman"/>
          <w:sz w:val="16"/>
          <w:szCs w:val="16"/>
        </w:rPr>
        <w:t xml:space="preserve">The Committee at the time noted that the real value of a number of financial penalties had declined to a level that was 40% less in real value from when they had been set in 1983.  </w:t>
      </w:r>
    </w:p>
  </w:footnote>
  <w:footnote w:id="15">
    <w:p w:rsidR="00026039" w:rsidRPr="00512764" w:rsidRDefault="00026039" w:rsidP="00897F63">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These figures were obtained using export features available on the Commission’s financial disclosure website, accessible from </w:t>
      </w:r>
      <w:hyperlink r:id="rId2" w:history="1">
        <w:r w:rsidRPr="00512764">
          <w:rPr>
            <w:rStyle w:val="Hyperlink"/>
            <w:rFonts w:ascii="Times New Roman" w:hAnsi="Times New Roman" w:cs="Times New Roman"/>
            <w:sz w:val="16"/>
            <w:szCs w:val="16"/>
            <w:lang w:val="en-AU"/>
          </w:rPr>
          <w:t>http://periodicdisclosures.aec.gov.au/Default.aspx</w:t>
        </w:r>
      </w:hyperlink>
      <w:r w:rsidRPr="00512764">
        <w:rPr>
          <w:rFonts w:ascii="Times New Roman" w:hAnsi="Times New Roman" w:cs="Times New Roman"/>
          <w:sz w:val="16"/>
          <w:szCs w:val="16"/>
          <w:u w:val="single"/>
          <w:lang w:val="en-AU"/>
        </w:rPr>
        <w:t xml:space="preserve"> </w:t>
      </w:r>
      <w:r w:rsidRPr="00512764">
        <w:rPr>
          <w:rFonts w:ascii="Times New Roman" w:hAnsi="Times New Roman" w:cs="Times New Roman"/>
          <w:sz w:val="16"/>
          <w:szCs w:val="16"/>
          <w:lang w:val="en-AU"/>
        </w:rPr>
        <w:t>as at 9 October 2012.  The disclosure threshold for the 2010-2011 financial year is also listed on this page.</w:t>
      </w:r>
    </w:p>
  </w:footnote>
  <w:footnote w:id="16">
    <w:p w:rsidR="00026039" w:rsidRPr="00512764" w:rsidRDefault="00026039" w:rsidP="00DB2E0C">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See Joint Standing Committee on Electoral Matters, </w:t>
      </w:r>
      <w:r w:rsidRPr="00512764">
        <w:rPr>
          <w:rFonts w:ascii="Times New Roman" w:hAnsi="Times New Roman" w:cs="Times New Roman"/>
          <w:i/>
          <w:sz w:val="16"/>
          <w:szCs w:val="16"/>
        </w:rPr>
        <w:t xml:space="preserve">Report on the Funding of Political Parties and Election Campaigns, </w:t>
      </w:r>
      <w:r w:rsidRPr="00512764">
        <w:rPr>
          <w:rFonts w:ascii="Times New Roman" w:hAnsi="Times New Roman" w:cs="Times New Roman"/>
          <w:sz w:val="16"/>
          <w:szCs w:val="16"/>
        </w:rPr>
        <w:t>November 2011, Commonwealth Parliament of Australia, pp. 9-10. The Committee comments on the ‘rising costs of election campaigning’ citing concerns expressed to it by interested parties and groups.  In the absence of statistics or ‘hard evidence’ of the magnitude of the rises, future policy will increasingly be based on anecdotal observations.</w:t>
      </w:r>
    </w:p>
  </w:footnote>
  <w:footnote w:id="17">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The figures on electoral expenditure by political parties are not available for the 1993 federal election because in 1991, the requirement for political parties to lodge election disclosure returns of donations received or electoral expenditure was replaced by the introduction of an annual disclosure obligation.  The form of the disclosure obligation was settled following a High Court challenge, by the insertion of a new Division 5A into the Electoral in 1992.  In 1995 the requirement for political parties to lodge disclosure returns of electoral expenditure following a federal election was reintroduced (hence the availability of figures for the 1996 election), but was again removed in 1998.</w:t>
      </w:r>
    </w:p>
  </w:footnote>
  <w:footnote w:id="18">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Accessed from Australian Electoral Commission, ‘Compliance Reviews’, </w:t>
      </w:r>
      <w:hyperlink r:id="rId3" w:history="1">
        <w:r w:rsidRPr="00512764">
          <w:rPr>
            <w:rStyle w:val="Hyperlink"/>
            <w:rFonts w:ascii="Times New Roman" w:hAnsi="Times New Roman" w:cs="Times New Roman"/>
            <w:sz w:val="16"/>
            <w:szCs w:val="16"/>
          </w:rPr>
          <w:t>http://www.aec.gov.au/Parties_and_Representatives/compliance/compliance-reviews.htm</w:t>
        </w:r>
      </w:hyperlink>
      <w:r w:rsidRPr="00512764">
        <w:rPr>
          <w:rFonts w:ascii="Times New Roman" w:hAnsi="Times New Roman" w:cs="Times New Roman"/>
          <w:sz w:val="16"/>
          <w:szCs w:val="16"/>
        </w:rPr>
        <w:t xml:space="preserve"> on 21 September 2012.</w:t>
      </w:r>
    </w:p>
  </w:footnote>
  <w:footnote w:id="19">
    <w:p w:rsidR="00026039" w:rsidRPr="00512764" w:rsidRDefault="00026039" w:rsidP="0011735A">
      <w:pPr>
        <w:spacing w:after="0" w:line="240" w:lineRule="auto"/>
        <w:rPr>
          <w:rFonts w:ascii="Times New Roman" w:hAnsi="Times New Roman" w:cs="Times New Roman"/>
          <w:sz w:val="16"/>
          <w:szCs w:val="16"/>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An alternative option in connection with penalties</w:t>
      </w:r>
      <w:r>
        <w:rPr>
          <w:rFonts w:ascii="Times New Roman" w:hAnsi="Times New Roman" w:cs="Times New Roman"/>
          <w:sz w:val="16"/>
          <w:szCs w:val="16"/>
        </w:rPr>
        <w:t xml:space="preserve"> and prosecution</w:t>
      </w:r>
      <w:r w:rsidRPr="00512764">
        <w:rPr>
          <w:rFonts w:ascii="Times New Roman" w:hAnsi="Times New Roman" w:cs="Times New Roman"/>
          <w:sz w:val="16"/>
          <w:szCs w:val="16"/>
        </w:rPr>
        <w:t xml:space="preserve"> has been canvassed by JSCEM and was included as Recommendation 26 in its 2011 </w:t>
      </w:r>
      <w:r w:rsidRPr="00512764">
        <w:rPr>
          <w:rFonts w:ascii="Times New Roman" w:hAnsi="Times New Roman" w:cs="Times New Roman"/>
          <w:i/>
          <w:sz w:val="16"/>
          <w:szCs w:val="16"/>
        </w:rPr>
        <w:t>Report on the funding of political parties and election campaigns</w:t>
      </w:r>
      <w:r w:rsidRPr="00512764">
        <w:rPr>
          <w:rFonts w:ascii="Times New Roman" w:hAnsi="Times New Roman" w:cs="Times New Roman"/>
          <w:sz w:val="16"/>
          <w:szCs w:val="16"/>
        </w:rPr>
        <w:t>.  JSCEM recommended that the Electoral Act be amended as necessary to make offences under Part XX that could be classified as ‘straightforward matters of fact’ be subject to administrative penalties issued by the Commission, with a mechanism for internal review.  This would remove the need to go to the DPP for every prosecution.  This is considered a very worthwhile reform.  However, this option has not yet been taken up by the Parliament.</w:t>
      </w:r>
    </w:p>
    <w:p w:rsidR="00026039" w:rsidRPr="00512764" w:rsidRDefault="00026039">
      <w:pPr>
        <w:pStyle w:val="FootnoteText"/>
        <w:rPr>
          <w:rFonts w:ascii="Times New Roman" w:hAnsi="Times New Roman" w:cs="Times New Roman"/>
          <w:sz w:val="16"/>
          <w:szCs w:val="16"/>
          <w:lang w:val="en-AU"/>
        </w:rPr>
      </w:pPr>
    </w:p>
  </w:footnote>
  <w:footnote w:id="20">
    <w:p w:rsidR="00026039" w:rsidRPr="00187163" w:rsidRDefault="00026039" w:rsidP="00187163">
      <w:pPr>
        <w:pStyle w:val="FootnoteText"/>
        <w:rPr>
          <w:rFonts w:ascii="Times New Roman" w:hAnsi="Times New Roman" w:cs="Times New Roman"/>
          <w:sz w:val="16"/>
          <w:szCs w:val="16"/>
          <w:lang w:val="en-AU"/>
        </w:rPr>
      </w:pPr>
      <w:r w:rsidRPr="00187163">
        <w:rPr>
          <w:rStyle w:val="FootnoteReference"/>
          <w:rFonts w:ascii="Times New Roman" w:hAnsi="Times New Roman" w:cs="Times New Roman"/>
          <w:sz w:val="16"/>
          <w:szCs w:val="16"/>
        </w:rPr>
        <w:footnoteRef/>
      </w:r>
      <w:r w:rsidRPr="00187163">
        <w:rPr>
          <w:rFonts w:ascii="Times New Roman" w:hAnsi="Times New Roman" w:cs="Times New Roman"/>
          <w:sz w:val="16"/>
          <w:szCs w:val="16"/>
        </w:rPr>
        <w:t xml:space="preserve"> The Commission received supplementation for the resource costs associated with its assumption of the compliance responsibilities in 1993.  Since then, the section has grown from two to eight positions.  The additional positions have been funded by reallocation of resources from within the Commission’s funding base.</w:t>
      </w:r>
    </w:p>
  </w:footnote>
  <w:footnote w:id="21">
    <w:p w:rsidR="00026039" w:rsidRPr="00187163" w:rsidRDefault="00026039" w:rsidP="004234CA">
      <w:pPr>
        <w:pStyle w:val="FootnoteText"/>
        <w:rPr>
          <w:rFonts w:ascii="Times New Roman" w:hAnsi="Times New Roman" w:cs="Times New Roman"/>
          <w:sz w:val="16"/>
          <w:szCs w:val="16"/>
          <w:lang w:val="en-AU"/>
        </w:rPr>
      </w:pPr>
      <w:r w:rsidRPr="00187163">
        <w:rPr>
          <w:rStyle w:val="FootnoteReference"/>
          <w:rFonts w:ascii="Times New Roman" w:hAnsi="Times New Roman" w:cs="Times New Roman"/>
          <w:sz w:val="16"/>
          <w:szCs w:val="16"/>
        </w:rPr>
        <w:footnoteRef/>
      </w:r>
      <w:r w:rsidRPr="00187163">
        <w:rPr>
          <w:rFonts w:ascii="Times New Roman" w:hAnsi="Times New Roman" w:cs="Times New Roman"/>
          <w:sz w:val="16"/>
          <w:szCs w:val="16"/>
        </w:rPr>
        <w:t xml:space="preserve"> The Director of the compliance area stated that unions have been excluded from the compliance program because the financial contributions from unions that are associated entities to the Australian Labor Party are from affiliation fees, which are not treated as gifts under Part XX of the Electoral Act.  It was stated that reviewing unions was less necessary when those finances, apart from the payment of affiliation fees, are essentially irrelevant to the conduct of political parties or federal elections (like any other natural person member of a political party). It was also a decision based on the fact that union finances are already subject to independent audit and review by Fair Work Australia.  This appears to be an approach that developed over time and was not formally approved in any explicit documentation</w:t>
      </w:r>
      <w:r>
        <w:rPr>
          <w:rFonts w:ascii="Times New Roman" w:hAnsi="Times New Roman" w:cs="Times New Roman"/>
          <w:sz w:val="16"/>
          <w:szCs w:val="16"/>
        </w:rPr>
        <w:t xml:space="preserve"> made available to the review</w:t>
      </w:r>
      <w:r w:rsidRPr="00187163">
        <w:rPr>
          <w:rFonts w:ascii="Times New Roman" w:hAnsi="Times New Roman" w:cs="Times New Roman"/>
          <w:sz w:val="16"/>
          <w:szCs w:val="16"/>
        </w:rPr>
        <w:t>.</w:t>
      </w:r>
    </w:p>
  </w:footnote>
  <w:footnote w:id="22">
    <w:p w:rsidR="00026039" w:rsidRPr="008B6643" w:rsidRDefault="00026039">
      <w:pPr>
        <w:pStyle w:val="FootnoteText"/>
        <w:rPr>
          <w:rFonts w:ascii="Times New Roman" w:hAnsi="Times New Roman" w:cs="Times New Roman"/>
          <w:sz w:val="16"/>
          <w:szCs w:val="16"/>
          <w:lang w:val="en-AU"/>
        </w:rPr>
      </w:pPr>
      <w:r w:rsidRPr="008B6643">
        <w:rPr>
          <w:rStyle w:val="FootnoteReference"/>
          <w:rFonts w:ascii="Times New Roman" w:hAnsi="Times New Roman" w:cs="Times New Roman"/>
          <w:sz w:val="16"/>
          <w:szCs w:val="16"/>
        </w:rPr>
        <w:footnoteRef/>
      </w:r>
      <w:r>
        <w:rPr>
          <w:rFonts w:ascii="Times New Roman" w:hAnsi="Times New Roman" w:cs="Times New Roman"/>
          <w:sz w:val="16"/>
          <w:szCs w:val="16"/>
          <w:lang w:val="en-AU"/>
        </w:rPr>
        <w:t xml:space="preserve"> The PricewaterhouseCoopers report at Part 4 includes more information on this.</w:t>
      </w:r>
    </w:p>
  </w:footnote>
  <w:footnote w:id="23">
    <w:p w:rsidR="00026039" w:rsidRPr="00187163" w:rsidRDefault="00026039">
      <w:pPr>
        <w:pStyle w:val="FootnoteText"/>
        <w:rPr>
          <w:sz w:val="16"/>
          <w:szCs w:val="16"/>
          <w:lang w:val="en-AU"/>
        </w:rPr>
      </w:pPr>
      <w:r w:rsidRPr="00187163">
        <w:rPr>
          <w:rStyle w:val="FootnoteReference"/>
          <w:rFonts w:ascii="Times New Roman" w:hAnsi="Times New Roman" w:cs="Times New Roman"/>
          <w:sz w:val="16"/>
          <w:szCs w:val="16"/>
        </w:rPr>
        <w:footnoteRef/>
      </w:r>
      <w:r w:rsidRPr="00187163">
        <w:rPr>
          <w:rFonts w:ascii="Times New Roman" w:hAnsi="Times New Roman" w:cs="Times New Roman"/>
          <w:sz w:val="16"/>
          <w:szCs w:val="16"/>
        </w:rPr>
        <w:t xml:space="preserve"> The PricewaterhouseCoopers report </w:t>
      </w:r>
      <w:r>
        <w:rPr>
          <w:rFonts w:ascii="Times New Roman" w:hAnsi="Times New Roman" w:cs="Times New Roman"/>
          <w:sz w:val="16"/>
          <w:szCs w:val="16"/>
        </w:rPr>
        <w:t xml:space="preserve">at Part 4 </w:t>
      </w:r>
      <w:r w:rsidRPr="00187163">
        <w:rPr>
          <w:rFonts w:ascii="Times New Roman" w:hAnsi="Times New Roman" w:cs="Times New Roman"/>
          <w:sz w:val="16"/>
          <w:szCs w:val="16"/>
        </w:rPr>
        <w:t>details the importance of a comprehensive risk management framework that takes into account a range of external factors in addition to purely financial matters.</w:t>
      </w:r>
    </w:p>
  </w:footnote>
  <w:footnote w:id="24">
    <w:p w:rsidR="00026039" w:rsidRPr="00512764" w:rsidRDefault="00026039">
      <w:pPr>
        <w:pStyle w:val="FootnoteText"/>
        <w:rPr>
          <w:rFonts w:ascii="Times New Roman" w:hAnsi="Times New Roman" w:cs="Times New Roman"/>
          <w:sz w:val="16"/>
          <w:szCs w:val="16"/>
          <w:lang w:val="en-AU"/>
        </w:rPr>
      </w:pPr>
      <w:r w:rsidRPr="00187163">
        <w:rPr>
          <w:rStyle w:val="FootnoteReference"/>
          <w:rFonts w:ascii="Times New Roman" w:hAnsi="Times New Roman" w:cs="Times New Roman"/>
          <w:sz w:val="16"/>
          <w:szCs w:val="16"/>
        </w:rPr>
        <w:footnoteRef/>
      </w:r>
      <w:r w:rsidRPr="00187163">
        <w:rPr>
          <w:rFonts w:ascii="Times New Roman" w:hAnsi="Times New Roman" w:cs="Times New Roman"/>
          <w:sz w:val="16"/>
          <w:szCs w:val="16"/>
        </w:rPr>
        <w:t xml:space="preserve"> This terminology is used in the internal documentation in FAD’s compliance area outlining their procedures for developing the compliance review program and conducting compliance reviews under section 316(2A) of the Electoral Act.</w:t>
      </w:r>
    </w:p>
  </w:footnote>
  <w:footnote w:id="25">
    <w:p w:rsidR="00026039" w:rsidRPr="00187163" w:rsidRDefault="00026039">
      <w:pPr>
        <w:pStyle w:val="FootnoteText"/>
        <w:rPr>
          <w:rFonts w:ascii="Times New Roman" w:hAnsi="Times New Roman" w:cs="Times New Roman"/>
          <w:sz w:val="16"/>
          <w:szCs w:val="16"/>
          <w:lang w:val="en-AU"/>
        </w:rPr>
      </w:pPr>
      <w:r w:rsidRPr="00187163">
        <w:rPr>
          <w:rStyle w:val="FootnoteReference"/>
          <w:rFonts w:ascii="Times New Roman" w:hAnsi="Times New Roman" w:cs="Times New Roman"/>
          <w:sz w:val="16"/>
          <w:szCs w:val="16"/>
        </w:rPr>
        <w:footnoteRef/>
      </w:r>
      <w:r w:rsidRPr="00187163">
        <w:rPr>
          <w:rFonts w:ascii="Times New Roman" w:hAnsi="Times New Roman" w:cs="Times New Roman"/>
          <w:sz w:val="16"/>
          <w:szCs w:val="16"/>
        </w:rPr>
        <w:t xml:space="preserve"> </w:t>
      </w:r>
      <w:r w:rsidRPr="00187163">
        <w:rPr>
          <w:rFonts w:ascii="Times New Roman" w:hAnsi="Times New Roman" w:cs="Times New Roman"/>
          <w:sz w:val="16"/>
          <w:szCs w:val="16"/>
          <w:lang w:val="en-AU"/>
        </w:rPr>
        <w:t>See section 305B of the Electoral Act</w:t>
      </w:r>
      <w:r>
        <w:rPr>
          <w:rFonts w:ascii="Times New Roman" w:hAnsi="Times New Roman" w:cs="Times New Roman"/>
          <w:sz w:val="16"/>
          <w:szCs w:val="16"/>
          <w:lang w:val="en-AU"/>
        </w:rPr>
        <w:t>.</w:t>
      </w:r>
    </w:p>
  </w:footnote>
  <w:footnote w:id="26">
    <w:p w:rsidR="00026039" w:rsidRPr="00187163" w:rsidRDefault="00026039">
      <w:pPr>
        <w:pStyle w:val="FootnoteText"/>
        <w:rPr>
          <w:rFonts w:ascii="Times New Roman" w:hAnsi="Times New Roman" w:cs="Times New Roman"/>
          <w:sz w:val="16"/>
          <w:szCs w:val="16"/>
          <w:lang w:val="en-AU"/>
        </w:rPr>
      </w:pPr>
      <w:r w:rsidRPr="00187163">
        <w:rPr>
          <w:rStyle w:val="FootnoteReference"/>
          <w:rFonts w:ascii="Times New Roman" w:hAnsi="Times New Roman" w:cs="Times New Roman"/>
          <w:sz w:val="16"/>
          <w:szCs w:val="16"/>
        </w:rPr>
        <w:footnoteRef/>
      </w:r>
      <w:r w:rsidRPr="00187163">
        <w:rPr>
          <w:rFonts w:ascii="Times New Roman" w:hAnsi="Times New Roman" w:cs="Times New Roman"/>
          <w:sz w:val="16"/>
          <w:szCs w:val="16"/>
        </w:rPr>
        <w:t xml:space="preserve"> </w:t>
      </w:r>
      <w:r w:rsidRPr="00187163">
        <w:rPr>
          <w:rFonts w:ascii="Times New Roman" w:hAnsi="Times New Roman" w:cs="Times New Roman"/>
          <w:sz w:val="16"/>
          <w:szCs w:val="16"/>
          <w:lang w:val="en-AU"/>
        </w:rPr>
        <w:t>See section 314AC of the Electoral Act</w:t>
      </w:r>
      <w:r>
        <w:rPr>
          <w:rFonts w:ascii="Times New Roman" w:hAnsi="Times New Roman" w:cs="Times New Roman"/>
          <w:sz w:val="16"/>
          <w:szCs w:val="16"/>
          <w:lang w:val="en-AU"/>
        </w:rPr>
        <w:t>.</w:t>
      </w:r>
    </w:p>
  </w:footnote>
  <w:footnote w:id="27">
    <w:p w:rsidR="00026039" w:rsidRPr="00512764" w:rsidRDefault="00026039" w:rsidP="004E32EF">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The Joint Standing Committee on Electoral Matters examined this issue during its 2011 Inquiry into the funding of political parties and election campaigns.  It recommended that the Electoral Act be amended to remove difference between the disclosure obligations for political parties and donors to political parties and align the obligations.  See further Recommendation 9, </w:t>
      </w:r>
      <w:r w:rsidRPr="00512764">
        <w:rPr>
          <w:rFonts w:ascii="Times New Roman" w:hAnsi="Times New Roman" w:cs="Times New Roman"/>
          <w:i/>
          <w:sz w:val="16"/>
          <w:szCs w:val="16"/>
          <w:lang w:val="en-AU"/>
        </w:rPr>
        <w:t xml:space="preserve">Report on the funding of political parties and election campaigns, </w:t>
      </w:r>
      <w:r w:rsidRPr="00512764">
        <w:rPr>
          <w:rFonts w:ascii="Times New Roman" w:hAnsi="Times New Roman" w:cs="Times New Roman"/>
          <w:sz w:val="16"/>
          <w:szCs w:val="16"/>
          <w:lang w:val="en-AU"/>
        </w:rPr>
        <w:t>November 2011, Commonwealth Parliament of Australia, p. 69.</w:t>
      </w:r>
    </w:p>
  </w:footnote>
  <w:footnote w:id="28">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Review of the Australian Electoral Commission’s analysis of the Fair Work Australia Report on the Health Services Union, </w:t>
      </w:r>
      <w:r w:rsidRPr="00512764">
        <w:rPr>
          <w:rFonts w:ascii="Times New Roman" w:hAnsi="Times New Roman" w:cs="Times New Roman"/>
          <w:sz w:val="16"/>
          <w:szCs w:val="16"/>
          <w:lang w:val="en-AU"/>
        </w:rPr>
        <w:t>September 2012, Commonwealth Parliament of Australia, p. 55.</w:t>
      </w:r>
    </w:p>
  </w:footnote>
  <w:footnote w:id="29">
    <w:p w:rsidR="00026039" w:rsidRPr="003C7E7E" w:rsidRDefault="00026039">
      <w:pPr>
        <w:pStyle w:val="FootnoteText"/>
        <w:rPr>
          <w:rFonts w:ascii="Times New Roman" w:hAnsi="Times New Roman"/>
          <w:sz w:val="16"/>
        </w:rPr>
      </w:pPr>
      <w:r w:rsidRPr="003C7E7E">
        <w:rPr>
          <w:rStyle w:val="FootnoteReference"/>
          <w:rFonts w:ascii="Times New Roman" w:hAnsi="Times New Roman"/>
          <w:sz w:val="16"/>
        </w:rPr>
        <w:footnoteRef/>
      </w:r>
      <w:r w:rsidRPr="003C7E7E">
        <w:rPr>
          <w:rFonts w:ascii="Times New Roman" w:hAnsi="Times New Roman"/>
          <w:sz w:val="16"/>
        </w:rPr>
        <w:t xml:space="preserve"> </w:t>
      </w:r>
      <w:r>
        <w:rPr>
          <w:rFonts w:ascii="Times New Roman" w:hAnsi="Times New Roman"/>
          <w:sz w:val="16"/>
        </w:rPr>
        <w:t xml:space="preserve">See further </w:t>
      </w:r>
      <w:hyperlink r:id="rId4" w:history="1">
        <w:r w:rsidRPr="00A325C8">
          <w:rPr>
            <w:rStyle w:val="Hyperlink"/>
            <w:rFonts w:ascii="Times New Roman" w:hAnsi="Times New Roman"/>
            <w:sz w:val="16"/>
          </w:rPr>
          <w:t>http://www.aec.gov.au/Parties_and_Representatives/compliance/special-investigations.htm</w:t>
        </w:r>
      </w:hyperlink>
      <w:r>
        <w:rPr>
          <w:rFonts w:ascii="Times New Roman" w:hAnsi="Times New Roman"/>
          <w:sz w:val="16"/>
        </w:rPr>
        <w:t xml:space="preserve"> .  This page includes links to formal decisions on special investigations undertaken by the Commission under section 316(3) and section 316(3A) of the Electoral Act.</w:t>
      </w:r>
    </w:p>
  </w:footnote>
  <w:footnote w:id="30">
    <w:p w:rsidR="00026039" w:rsidRPr="001604F3" w:rsidRDefault="00026039">
      <w:pPr>
        <w:pStyle w:val="FootnoteText"/>
        <w:rPr>
          <w:rFonts w:ascii="Times New Roman" w:hAnsi="Times New Roman" w:cs="Times New Roman"/>
          <w:sz w:val="16"/>
          <w:szCs w:val="16"/>
          <w:lang w:val="en-AU"/>
        </w:rPr>
      </w:pPr>
      <w:r w:rsidRPr="001604F3">
        <w:rPr>
          <w:rStyle w:val="FootnoteReference"/>
          <w:rFonts w:ascii="Times New Roman" w:hAnsi="Times New Roman" w:cs="Times New Roman"/>
          <w:sz w:val="16"/>
          <w:szCs w:val="16"/>
        </w:rPr>
        <w:footnoteRef/>
      </w:r>
      <w:r w:rsidRPr="001604F3">
        <w:rPr>
          <w:rFonts w:ascii="Times New Roman" w:hAnsi="Times New Roman" w:cs="Times New Roman"/>
          <w:sz w:val="16"/>
          <w:szCs w:val="16"/>
        </w:rPr>
        <w:t xml:space="preserve"> </w:t>
      </w:r>
      <w:r>
        <w:rPr>
          <w:rFonts w:ascii="Times New Roman" w:hAnsi="Times New Roman" w:cs="Times New Roman"/>
          <w:sz w:val="16"/>
          <w:szCs w:val="16"/>
        </w:rPr>
        <w:t>The PricewaterhouseCoopers report at Part 4 recommends a comprehensive risk management framework that the compliance section should adopt to underpin the selection of candidates for review.</w:t>
      </w:r>
    </w:p>
  </w:footnote>
  <w:footnote w:id="31">
    <w:p w:rsidR="00026039" w:rsidRPr="00DB468C" w:rsidRDefault="00026039">
      <w:pPr>
        <w:pStyle w:val="FootnoteText"/>
        <w:rPr>
          <w:rFonts w:ascii="Times New Roman" w:hAnsi="Times New Roman" w:cs="Times New Roman"/>
          <w:sz w:val="16"/>
          <w:szCs w:val="16"/>
          <w:lang w:val="en-AU"/>
        </w:rPr>
      </w:pPr>
      <w:r w:rsidRPr="00DB468C">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Unless</w:t>
      </w:r>
      <w:r w:rsidRPr="00DB468C">
        <w:rPr>
          <w:rFonts w:ascii="Times New Roman" w:hAnsi="Times New Roman" w:cs="Times New Roman"/>
          <w:sz w:val="16"/>
          <w:szCs w:val="16"/>
          <w:lang w:val="en-AU"/>
        </w:rPr>
        <w:t xml:space="preserve"> they make a gift </w:t>
      </w:r>
      <w:r>
        <w:rPr>
          <w:rFonts w:ascii="Times New Roman" w:hAnsi="Times New Roman" w:cs="Times New Roman"/>
          <w:sz w:val="16"/>
          <w:szCs w:val="16"/>
          <w:lang w:val="en-AU"/>
        </w:rPr>
        <w:t xml:space="preserve">directly </w:t>
      </w:r>
      <w:r w:rsidRPr="00DB468C">
        <w:rPr>
          <w:rFonts w:ascii="Times New Roman" w:hAnsi="Times New Roman" w:cs="Times New Roman"/>
          <w:sz w:val="16"/>
          <w:szCs w:val="16"/>
          <w:lang w:val="en-AU"/>
        </w:rPr>
        <w:t>to a candidate or Senate group</w:t>
      </w:r>
      <w:r>
        <w:rPr>
          <w:rFonts w:ascii="Times New Roman" w:hAnsi="Times New Roman" w:cs="Times New Roman"/>
          <w:sz w:val="16"/>
          <w:szCs w:val="16"/>
          <w:lang w:val="en-AU"/>
        </w:rPr>
        <w:t xml:space="preserve"> (as opposed to a political party) or a person or body (whether incorporated or not) specified, by legislative instrument, by the Commission and the gift is ‘equal to or more than’ the disclosure threshold</w:t>
      </w:r>
      <w:r w:rsidRPr="00DB468C">
        <w:rPr>
          <w:rFonts w:ascii="Times New Roman" w:hAnsi="Times New Roman" w:cs="Times New Roman"/>
          <w:sz w:val="16"/>
          <w:szCs w:val="16"/>
          <w:lang w:val="en-AU"/>
        </w:rPr>
        <w:t xml:space="preserve"> during the disclosure period in relation to an election.</w:t>
      </w:r>
      <w:r>
        <w:rPr>
          <w:rFonts w:ascii="Times New Roman" w:hAnsi="Times New Roman" w:cs="Times New Roman"/>
          <w:sz w:val="16"/>
          <w:szCs w:val="16"/>
          <w:lang w:val="en-AU"/>
        </w:rPr>
        <w:t xml:space="preserve"> See section 17(2A), section 305A(1A) and section 305A(1A) of the Electoral Act. </w:t>
      </w:r>
    </w:p>
  </w:footnote>
  <w:footnote w:id="32">
    <w:p w:rsidR="00026039" w:rsidRPr="00512764" w:rsidRDefault="00026039" w:rsidP="004234CA">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Recommendation 29, Joint Standing Committee on Electoral Matters, </w:t>
      </w:r>
      <w:r w:rsidRPr="00512764">
        <w:rPr>
          <w:rFonts w:ascii="Times New Roman" w:hAnsi="Times New Roman" w:cs="Times New Roman"/>
          <w:i/>
          <w:sz w:val="16"/>
          <w:szCs w:val="16"/>
          <w:lang w:val="en-AU"/>
        </w:rPr>
        <w:t xml:space="preserve">Report on the funding of political parties and election campaigns, </w:t>
      </w:r>
      <w:r w:rsidRPr="00512764">
        <w:rPr>
          <w:rFonts w:ascii="Times New Roman" w:hAnsi="Times New Roman" w:cs="Times New Roman"/>
          <w:sz w:val="16"/>
          <w:szCs w:val="16"/>
          <w:lang w:val="en-AU"/>
        </w:rPr>
        <w:t>November 2011, p. 188.</w:t>
      </w:r>
    </w:p>
  </w:footnote>
  <w:footnote w:id="33">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In some overseas jurisdictions, compliance review reports are considered to be sufficiently sensitive that their contents are reviewed by an independent body or group before release.  This may warrant further examination by the Commission in the future.</w:t>
      </w:r>
    </w:p>
  </w:footnote>
  <w:footnote w:id="34">
    <w:p w:rsidR="00026039" w:rsidRPr="00770FFC" w:rsidRDefault="00026039">
      <w:pPr>
        <w:pStyle w:val="FootnoteText"/>
        <w:rPr>
          <w:rFonts w:ascii="Times New Roman" w:hAnsi="Times New Roman" w:cs="Times New Roman"/>
          <w:sz w:val="16"/>
          <w:szCs w:val="16"/>
          <w:lang w:val="en-AU"/>
        </w:rPr>
      </w:pPr>
      <w:r w:rsidRPr="00770FFC">
        <w:rPr>
          <w:rStyle w:val="FootnoteReference"/>
          <w:rFonts w:ascii="Times New Roman" w:hAnsi="Times New Roman" w:cs="Times New Roman"/>
          <w:sz w:val="16"/>
          <w:szCs w:val="16"/>
        </w:rPr>
        <w:footnoteRef/>
      </w:r>
      <w:r w:rsidRPr="00770FFC">
        <w:rPr>
          <w:rFonts w:ascii="Times New Roman" w:hAnsi="Times New Roman" w:cs="Times New Roman"/>
          <w:sz w:val="16"/>
          <w:szCs w:val="16"/>
        </w:rPr>
        <w:t xml:space="preserve"> </w:t>
      </w:r>
      <w:r>
        <w:rPr>
          <w:rFonts w:ascii="Times New Roman" w:hAnsi="Times New Roman" w:cs="Times New Roman"/>
          <w:sz w:val="16"/>
          <w:szCs w:val="16"/>
        </w:rPr>
        <w:t>These are based on the indicators currently reported by the party registration area of FAD in its Balanced Scorecard.</w:t>
      </w:r>
    </w:p>
  </w:footnote>
  <w:footnote w:id="35">
    <w:p w:rsidR="00026039" w:rsidRPr="00512764" w:rsidRDefault="00026039" w:rsidP="00B30493">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A similar distinction was originally identified in B. Edgman, ‘Political Funding: Challenges of Enforcement and Compliance’, Paper prepared for the Challenges of Electoral Democracy Workshop, University of Melbourne, July 2011, p. 2.</w:t>
      </w:r>
    </w:p>
  </w:footnote>
  <w:footnote w:id="36">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Section 316(2A) is a compulsive power that may be exercised to require the production of documents and other material and obliging persons to provide oral or written evidence from the persons specified in the provision.</w:t>
      </w:r>
    </w:p>
  </w:footnote>
  <w:footnote w:id="37">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Section 316(3) and section 316(3A) are compulsive powers that can be exercised to require the production of documents and other material in relation to a contravention or possible contravention where there are reasonable grounds to believe that ‘a person’ is capable of doing so. </w:t>
      </w:r>
    </w:p>
  </w:footnote>
  <w:footnote w:id="38">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B. Edgman, ‘Political Funding: Challenges of Enforcement and Compliance’, Paper prepared for the Challenges of Electoral Democracy Workshop, University of Melbourne, July 2011, p. 3.</w:t>
      </w:r>
    </w:p>
  </w:footnote>
  <w:footnote w:id="39">
    <w:p w:rsidR="00026039" w:rsidRPr="00512764" w:rsidRDefault="00026039" w:rsidP="004234CA">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See generally </w:t>
      </w:r>
      <w:r w:rsidRPr="00512764">
        <w:rPr>
          <w:rFonts w:ascii="Times New Roman" w:hAnsi="Times New Roman" w:cs="Times New Roman"/>
          <w:i/>
          <w:sz w:val="16"/>
          <w:szCs w:val="16"/>
          <w:lang w:val="en-AU"/>
        </w:rPr>
        <w:t xml:space="preserve">Committee Hansard </w:t>
      </w:r>
      <w:r w:rsidRPr="00512764">
        <w:rPr>
          <w:rFonts w:ascii="Times New Roman" w:hAnsi="Times New Roman" w:cs="Times New Roman"/>
          <w:sz w:val="16"/>
          <w:szCs w:val="16"/>
          <w:lang w:val="en-AU"/>
        </w:rPr>
        <w:t xml:space="preserve">6 July 2012 and </w:t>
      </w:r>
      <w:r w:rsidRPr="00512764">
        <w:rPr>
          <w:rFonts w:ascii="Times New Roman" w:hAnsi="Times New Roman" w:cs="Times New Roman"/>
          <w:i/>
          <w:sz w:val="16"/>
          <w:szCs w:val="16"/>
          <w:lang w:val="en-AU"/>
        </w:rPr>
        <w:t xml:space="preserve">Committee Hansard </w:t>
      </w:r>
      <w:r w:rsidRPr="00512764">
        <w:rPr>
          <w:rFonts w:ascii="Times New Roman" w:hAnsi="Times New Roman" w:cs="Times New Roman"/>
          <w:sz w:val="16"/>
          <w:szCs w:val="16"/>
          <w:lang w:val="en-AU"/>
        </w:rPr>
        <w:t>16 July 2012.</w:t>
      </w:r>
    </w:p>
  </w:footnote>
  <w:footnote w:id="40">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A ‘prescribed person’ is a person named in an election report prepared under section 17(2A) of the Electoral Act.  A ‘prescribed person’ is a person that ‘has or may have’ a disclosure obligation under section 305A(1) or section 305(1A) of the Electoral Act.  Donors to candidates and Senate groups have a disclosure obligation under section 305A(1) and donors to persons or bodies specified by legislative instrument by the Electoral Commission have a disclosure obligation under section 305A(1A).</w:t>
      </w:r>
    </w:p>
  </w:footnote>
  <w:footnote w:id="41">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Senator Hill, ‘Second reading speech: Commonwealth Electoral Legislation Amendment Bill 1983’, Senate, </w:t>
      </w:r>
      <w:r w:rsidRPr="00512764">
        <w:rPr>
          <w:rFonts w:ascii="Times New Roman" w:hAnsi="Times New Roman" w:cs="Times New Roman"/>
          <w:i/>
          <w:sz w:val="16"/>
          <w:szCs w:val="16"/>
          <w:lang w:val="en-AU"/>
        </w:rPr>
        <w:t>Debates</w:t>
      </w:r>
      <w:r w:rsidRPr="00512764">
        <w:rPr>
          <w:rFonts w:ascii="Times New Roman" w:hAnsi="Times New Roman" w:cs="Times New Roman"/>
          <w:sz w:val="16"/>
          <w:szCs w:val="16"/>
          <w:lang w:val="en-AU"/>
        </w:rPr>
        <w:t>, 30 November 1983, p. 3050.</w:t>
      </w:r>
    </w:p>
  </w:footnote>
  <w:footnote w:id="42">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Joint Select Committee on Electoral Reform, </w:t>
      </w:r>
      <w:r w:rsidRPr="00512764">
        <w:rPr>
          <w:rFonts w:ascii="Times New Roman" w:hAnsi="Times New Roman" w:cs="Times New Roman"/>
          <w:i/>
          <w:sz w:val="16"/>
          <w:szCs w:val="16"/>
        </w:rPr>
        <w:t xml:space="preserve">First Report, </w:t>
      </w:r>
      <w:r w:rsidRPr="00512764">
        <w:rPr>
          <w:rFonts w:ascii="Times New Roman" w:hAnsi="Times New Roman" w:cs="Times New Roman"/>
          <w:sz w:val="16"/>
          <w:szCs w:val="16"/>
        </w:rPr>
        <w:t>September 1983, Commonwealth Parliament of Australia, paragraph 10.9</w:t>
      </w:r>
    </w:p>
  </w:footnote>
  <w:footnote w:id="43">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Who pays the piper calls the tune – minimising the risks of funding political campaigns, </w:t>
      </w:r>
      <w:r w:rsidRPr="00512764">
        <w:rPr>
          <w:rFonts w:ascii="Times New Roman" w:hAnsi="Times New Roman" w:cs="Times New Roman"/>
          <w:sz w:val="16"/>
          <w:szCs w:val="16"/>
          <w:lang w:val="en-AU"/>
        </w:rPr>
        <w:t>June 1989, Commonwealth Parliament of Australia, p. 72.</w:t>
      </w:r>
    </w:p>
  </w:footnote>
  <w:footnote w:id="44">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Joint Standing Committee on Electoral Matters, </w:t>
      </w:r>
      <w:r w:rsidRPr="00512764">
        <w:rPr>
          <w:rFonts w:ascii="Times New Roman" w:hAnsi="Times New Roman" w:cs="Times New Roman"/>
          <w:i/>
          <w:sz w:val="16"/>
          <w:szCs w:val="16"/>
          <w:lang w:val="en-AU"/>
        </w:rPr>
        <w:t xml:space="preserve">Who pays the piper calls the tune – minimising the risks of funding political campaigns, </w:t>
      </w:r>
      <w:r w:rsidRPr="00512764">
        <w:rPr>
          <w:rFonts w:ascii="Times New Roman" w:hAnsi="Times New Roman" w:cs="Times New Roman"/>
          <w:sz w:val="16"/>
          <w:szCs w:val="16"/>
          <w:lang w:val="en-AU"/>
        </w:rPr>
        <w:t>June 1989, Commonwealth Parliament of Australia, p. 72.</w:t>
      </w:r>
    </w:p>
  </w:footnote>
  <w:footnote w:id="45">
    <w:p w:rsidR="00026039" w:rsidRPr="00512764" w:rsidRDefault="00026039" w:rsidP="001E3E7B">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 xml:space="preserve">The Hon. Kim Beazley, ‘Second reading speech: Political Broadcasts and Political Disclosures Bill 1991’, House of Representatives, </w:t>
      </w:r>
      <w:r w:rsidRPr="00512764">
        <w:rPr>
          <w:rFonts w:ascii="Times New Roman" w:hAnsi="Times New Roman" w:cs="Times New Roman"/>
          <w:i/>
          <w:sz w:val="16"/>
          <w:szCs w:val="16"/>
          <w:lang w:val="en-AU"/>
        </w:rPr>
        <w:t>Debates</w:t>
      </w:r>
      <w:r w:rsidRPr="00512764">
        <w:rPr>
          <w:rFonts w:ascii="Times New Roman" w:hAnsi="Times New Roman" w:cs="Times New Roman"/>
          <w:sz w:val="16"/>
          <w:szCs w:val="16"/>
          <w:lang w:val="en-AU"/>
        </w:rPr>
        <w:t>, 9 May 1991, p. 3477.</w:t>
      </w:r>
    </w:p>
    <w:p w:rsidR="00026039" w:rsidRPr="00512764" w:rsidRDefault="00026039" w:rsidP="001E3E7B">
      <w:pPr>
        <w:pStyle w:val="FootnoteText"/>
        <w:rPr>
          <w:rFonts w:ascii="Times New Roman" w:hAnsi="Times New Roman" w:cs="Times New Roman"/>
          <w:sz w:val="16"/>
          <w:szCs w:val="16"/>
          <w:lang w:val="en-AU"/>
        </w:rPr>
      </w:pPr>
    </w:p>
  </w:footnote>
  <w:footnote w:id="46">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The ‘Australian Government Investigation Standards’ (2011) is the minimum standard that should be followed by government agencies in the administration of legislation for which they are responsible.  The standards apply both to inquiries and more formal investigations.  This should be the basis of development of investigative arrangements suitable to the Commission’s needs.</w:t>
      </w:r>
    </w:p>
  </w:footnote>
  <w:footnote w:id="47">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For example, the party registration area has involvement in resolving contentious issues such as disputes within political parties on office bearer matters and a range of other issues.  It would be useful to have a structured mechanism in place to facilitate communication on these issues so the compliance area are aware when developing their compliance program and can determine whether it will have an impact.</w:t>
      </w:r>
    </w:p>
  </w:footnote>
  <w:footnote w:id="48">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Party registration, appointment of office bearers (particularly registered officers and deputy registered officers) and the recognition of state branches process is also very important for candidate nominations during an election, the use of the electoral roll by political parties and the printing of ballot papers.  For the purposes of the review, only the role of the function within the FAD section has been captured.</w:t>
      </w:r>
    </w:p>
  </w:footnote>
  <w:footnote w:id="49">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w:t>
      </w:r>
      <w:r w:rsidRPr="00512764">
        <w:rPr>
          <w:rFonts w:ascii="Times New Roman" w:hAnsi="Times New Roman" w:cs="Times New Roman"/>
          <w:sz w:val="16"/>
          <w:szCs w:val="16"/>
          <w:lang w:val="en-AU"/>
        </w:rPr>
        <w:t>This is an administrative measure undertaken by the disclosure area – there is no specific power in the Electoral Act to compel political parties to respond to such a request.</w:t>
      </w:r>
    </w:p>
  </w:footnote>
  <w:footnote w:id="50">
    <w:p w:rsidR="00026039" w:rsidRPr="00512764" w:rsidRDefault="00026039" w:rsidP="003B5A48">
      <w:pPr>
        <w:pStyle w:val="FootnoteText"/>
        <w:rPr>
          <w:rFonts w:ascii="Times New Roman" w:hAnsi="Times New Roman" w:cs="Times New Roman"/>
          <w:sz w:val="16"/>
          <w:szCs w:val="16"/>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The precise approach and model to be used here requires careful consideration.  Some NSW political parties issue receipts to their donors that have information on the disclosure obligation printed on them.  A similar concept could be pursued at the federal level.</w:t>
      </w:r>
    </w:p>
  </w:footnote>
  <w:footnote w:id="51">
    <w:p w:rsidR="00026039" w:rsidRPr="00512764" w:rsidRDefault="00026039">
      <w:pPr>
        <w:pStyle w:val="FootnoteText"/>
        <w:rPr>
          <w:rFonts w:ascii="Times New Roman" w:hAnsi="Times New Roman" w:cs="Times New Roman"/>
          <w:sz w:val="16"/>
          <w:szCs w:val="16"/>
          <w:lang w:val="en-AU"/>
        </w:rPr>
      </w:pPr>
      <w:r w:rsidRPr="00512764">
        <w:rPr>
          <w:rStyle w:val="FootnoteReference"/>
          <w:rFonts w:ascii="Times New Roman" w:hAnsi="Times New Roman" w:cs="Times New Roman"/>
          <w:sz w:val="16"/>
          <w:szCs w:val="16"/>
        </w:rPr>
        <w:footnoteRef/>
      </w:r>
      <w:r w:rsidRPr="00512764">
        <w:rPr>
          <w:rFonts w:ascii="Times New Roman" w:hAnsi="Times New Roman" w:cs="Times New Roman"/>
          <w:sz w:val="16"/>
          <w:szCs w:val="16"/>
        </w:rPr>
        <w:t xml:space="preserve"> Senator The Hon. John Faulkner has stated that an ‘audit process’ under section 316(2D) would be straightforward, as the processes outlined above appear to be.  See further Senator The Hon. John Faulkner, ‘In Committee Speech’, 18 September 2002, Accessed from </w:t>
      </w:r>
      <w:hyperlink r:id="rId5" w:history="1">
        <w:r w:rsidRPr="00512764">
          <w:rPr>
            <w:rStyle w:val="Hyperlink"/>
            <w:rFonts w:ascii="Times New Roman" w:hAnsi="Times New Roman" w:cs="Times New Roman"/>
            <w:sz w:val="16"/>
            <w:szCs w:val="16"/>
          </w:rPr>
          <w:t>http://parlinfo.aph.gov.au/parlInfo/genpdf/chamber/hansards/2002-09-18/0013/hansard_frag.pdf;fileType=application%2Fpdf</w:t>
        </w:r>
      </w:hyperlink>
      <w:r w:rsidRPr="00512764">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39" w:rsidRPr="00353D69" w:rsidRDefault="00026039" w:rsidP="00353D69">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A8D"/>
    <w:multiLevelType w:val="hybridMultilevel"/>
    <w:tmpl w:val="D20EF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20050A"/>
    <w:multiLevelType w:val="multilevel"/>
    <w:tmpl w:val="0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8801C5"/>
    <w:multiLevelType w:val="hybridMultilevel"/>
    <w:tmpl w:val="1C483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9384C02"/>
    <w:multiLevelType w:val="multilevel"/>
    <w:tmpl w:val="F01AA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2BA1129"/>
    <w:multiLevelType w:val="hybridMultilevel"/>
    <w:tmpl w:val="29D2D6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490E9A"/>
    <w:multiLevelType w:val="hybridMultilevel"/>
    <w:tmpl w:val="C0422274"/>
    <w:lvl w:ilvl="0" w:tplc="E5A23846">
      <w:start w:val="1"/>
      <w:numFmt w:val="decimal"/>
      <w:lvlText w:val="%1."/>
      <w:lvlJc w:val="left"/>
      <w:pPr>
        <w:ind w:left="720" w:hanging="360"/>
      </w:pPr>
      <w:rPr>
        <w:rFonts w:asciiTheme="minorHAnsi" w:hAnsi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977DDE"/>
    <w:multiLevelType w:val="hybridMultilevel"/>
    <w:tmpl w:val="17C09B48"/>
    <w:lvl w:ilvl="0" w:tplc="0A6C29D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B041BE"/>
    <w:multiLevelType w:val="hybridMultilevel"/>
    <w:tmpl w:val="91C0D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D80F9E"/>
    <w:multiLevelType w:val="hybridMultilevel"/>
    <w:tmpl w:val="99B0A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CD74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C062D7"/>
    <w:multiLevelType w:val="hybridMultilevel"/>
    <w:tmpl w:val="CC544D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2DF7832"/>
    <w:multiLevelType w:val="hybridMultilevel"/>
    <w:tmpl w:val="E892CA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231F24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BF79DE"/>
    <w:multiLevelType w:val="hybridMultilevel"/>
    <w:tmpl w:val="E0500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128DF"/>
    <w:multiLevelType w:val="hybridMultilevel"/>
    <w:tmpl w:val="5596D8C0"/>
    <w:lvl w:ilvl="0" w:tplc="0C09000F">
      <w:start w:val="1"/>
      <w:numFmt w:val="decimal"/>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nsid w:val="261236EE"/>
    <w:multiLevelType w:val="hybridMultilevel"/>
    <w:tmpl w:val="1B1E93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32605C6D"/>
    <w:multiLevelType w:val="hybridMultilevel"/>
    <w:tmpl w:val="02249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34C173D"/>
    <w:multiLevelType w:val="hybridMultilevel"/>
    <w:tmpl w:val="50822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4AD06C6"/>
    <w:multiLevelType w:val="multilevel"/>
    <w:tmpl w:val="1F2C5504"/>
    <w:styleLink w:val="Sty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D05697"/>
    <w:multiLevelType w:val="hybridMultilevel"/>
    <w:tmpl w:val="62A243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9664E59"/>
    <w:multiLevelType w:val="hybridMultilevel"/>
    <w:tmpl w:val="E4E6E9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nsid w:val="3A9D5803"/>
    <w:multiLevelType w:val="hybridMultilevel"/>
    <w:tmpl w:val="740C632A"/>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41EE114B"/>
    <w:multiLevelType w:val="hybridMultilevel"/>
    <w:tmpl w:val="0D64FE50"/>
    <w:lvl w:ilvl="0" w:tplc="0C090001">
      <w:start w:val="1"/>
      <w:numFmt w:val="bullet"/>
      <w:lvlText w:val=""/>
      <w:lvlJc w:val="left"/>
      <w:pPr>
        <w:ind w:left="1995" w:hanging="360"/>
      </w:pPr>
      <w:rPr>
        <w:rFonts w:ascii="Symbol" w:hAnsi="Symbol" w:hint="default"/>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3">
    <w:nsid w:val="439609B3"/>
    <w:multiLevelType w:val="multilevel"/>
    <w:tmpl w:val="0C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C94E54"/>
    <w:multiLevelType w:val="hybridMultilevel"/>
    <w:tmpl w:val="C83A0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EA974B0"/>
    <w:multiLevelType w:val="hybridMultilevel"/>
    <w:tmpl w:val="B3F69A5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6">
    <w:nsid w:val="4FAF377E"/>
    <w:multiLevelType w:val="multilevel"/>
    <w:tmpl w:val="F7C4BFC0"/>
    <w:styleLink w:val="Style2"/>
    <w:lvl w:ilvl="0">
      <w:start w:val="2"/>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EE1DAD"/>
    <w:multiLevelType w:val="hybridMultilevel"/>
    <w:tmpl w:val="2F48466C"/>
    <w:lvl w:ilvl="0" w:tplc="0A6C29D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0F10BC"/>
    <w:multiLevelType w:val="multilevel"/>
    <w:tmpl w:val="1BE09F10"/>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b w:val="0"/>
        <w:i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9E14FB"/>
    <w:multiLevelType w:val="hybridMultilevel"/>
    <w:tmpl w:val="32900B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5F8C58C8"/>
    <w:multiLevelType w:val="hybridMultilevel"/>
    <w:tmpl w:val="5F4C85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0415BC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917BB9"/>
    <w:multiLevelType w:val="multilevel"/>
    <w:tmpl w:val="4E5C847A"/>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33">
    <w:nsid w:val="64142A02"/>
    <w:multiLevelType w:val="hybridMultilevel"/>
    <w:tmpl w:val="B0E4CA0A"/>
    <w:lvl w:ilvl="0" w:tplc="27CE971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4">
    <w:nsid w:val="6BD344BB"/>
    <w:multiLevelType w:val="hybridMultilevel"/>
    <w:tmpl w:val="F4C4A1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137856"/>
    <w:multiLevelType w:val="hybridMultilevel"/>
    <w:tmpl w:val="B1A243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741C18B7"/>
    <w:multiLevelType w:val="hybridMultilevel"/>
    <w:tmpl w:val="9D38E6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5935EB5"/>
    <w:multiLevelType w:val="hybridMultilevel"/>
    <w:tmpl w:val="41502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C05FFA"/>
    <w:multiLevelType w:val="hybridMultilevel"/>
    <w:tmpl w:val="AFC6D8E4"/>
    <w:lvl w:ilvl="0" w:tplc="0A6C29DC">
      <w:start w:val="1"/>
      <w:numFmt w:val="decimal"/>
      <w:lvlText w:val="%1.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9">
    <w:nsid w:val="78826AB3"/>
    <w:multiLevelType w:val="multilevel"/>
    <w:tmpl w:val="BAFA92C2"/>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A0012E2"/>
    <w:multiLevelType w:val="multilevel"/>
    <w:tmpl w:val="FE62B7AE"/>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62420D"/>
    <w:multiLevelType w:val="multilevel"/>
    <w:tmpl w:val="0C09001D"/>
    <w:styleLink w:val="Style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C284CD3"/>
    <w:multiLevelType w:val="hybridMultilevel"/>
    <w:tmpl w:val="1736B91E"/>
    <w:lvl w:ilvl="0" w:tplc="27CE971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35"/>
  </w:num>
  <w:num w:numId="3">
    <w:abstractNumId w:val="8"/>
  </w:num>
  <w:num w:numId="4">
    <w:abstractNumId w:val="19"/>
  </w:num>
  <w:num w:numId="5">
    <w:abstractNumId w:val="36"/>
  </w:num>
  <w:num w:numId="6">
    <w:abstractNumId w:val="17"/>
  </w:num>
  <w:num w:numId="7">
    <w:abstractNumId w:val="30"/>
  </w:num>
  <w:num w:numId="8">
    <w:abstractNumId w:val="16"/>
  </w:num>
  <w:num w:numId="9">
    <w:abstractNumId w:val="11"/>
  </w:num>
  <w:num w:numId="10">
    <w:abstractNumId w:val="13"/>
  </w:num>
  <w:num w:numId="11">
    <w:abstractNumId w:val="15"/>
  </w:num>
  <w:num w:numId="12">
    <w:abstractNumId w:val="42"/>
  </w:num>
  <w:num w:numId="13">
    <w:abstractNumId w:val="20"/>
  </w:num>
  <w:num w:numId="14">
    <w:abstractNumId w:val="33"/>
  </w:num>
  <w:num w:numId="15">
    <w:abstractNumId w:val="2"/>
  </w:num>
  <w:num w:numId="16">
    <w:abstractNumId w:val="0"/>
  </w:num>
  <w:num w:numId="17">
    <w:abstractNumId w:val="24"/>
  </w:num>
  <w:num w:numId="18">
    <w:abstractNumId w:val="32"/>
  </w:num>
  <w:num w:numId="19">
    <w:abstractNumId w:val="22"/>
  </w:num>
  <w:num w:numId="20">
    <w:abstractNumId w:val="3"/>
  </w:num>
  <w:num w:numId="21">
    <w:abstractNumId w:val="40"/>
  </w:num>
  <w:num w:numId="22">
    <w:abstractNumId w:val="23"/>
  </w:num>
  <w:num w:numId="23">
    <w:abstractNumId w:val="26"/>
  </w:num>
  <w:num w:numId="24">
    <w:abstractNumId w:val="1"/>
  </w:num>
  <w:num w:numId="25">
    <w:abstractNumId w:val="18"/>
  </w:num>
  <w:num w:numId="26">
    <w:abstractNumId w:val="41"/>
  </w:num>
  <w:num w:numId="27">
    <w:abstractNumId w:val="39"/>
  </w:num>
  <w:num w:numId="28">
    <w:abstractNumId w:val="28"/>
  </w:num>
  <w:num w:numId="29">
    <w:abstractNumId w:val="34"/>
  </w:num>
  <w:num w:numId="30">
    <w:abstractNumId w:val="21"/>
  </w:num>
  <w:num w:numId="31">
    <w:abstractNumId w:val="12"/>
  </w:num>
  <w:num w:numId="32">
    <w:abstractNumId w:val="25"/>
  </w:num>
  <w:num w:numId="33">
    <w:abstractNumId w:val="38"/>
  </w:num>
  <w:num w:numId="34">
    <w:abstractNumId w:val="14"/>
  </w:num>
  <w:num w:numId="35">
    <w:abstractNumId w:val="7"/>
  </w:num>
  <w:num w:numId="36">
    <w:abstractNumId w:val="37"/>
  </w:num>
  <w:num w:numId="37">
    <w:abstractNumId w:val="27"/>
  </w:num>
  <w:num w:numId="38">
    <w:abstractNumId w:val="5"/>
  </w:num>
  <w:num w:numId="39">
    <w:abstractNumId w:val="6"/>
  </w:num>
  <w:num w:numId="40">
    <w:abstractNumId w:val="29"/>
  </w:num>
  <w:num w:numId="41">
    <w:abstractNumId w:val="4"/>
  </w:num>
  <w:num w:numId="42">
    <w:abstractNumId w:val="31"/>
  </w:num>
  <w:num w:numId="4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7B"/>
    <w:rsid w:val="00002333"/>
    <w:rsid w:val="0001058B"/>
    <w:rsid w:val="00011B64"/>
    <w:rsid w:val="0001581B"/>
    <w:rsid w:val="000164F0"/>
    <w:rsid w:val="000204EB"/>
    <w:rsid w:val="00025D9C"/>
    <w:rsid w:val="00026039"/>
    <w:rsid w:val="00031DF9"/>
    <w:rsid w:val="000328BD"/>
    <w:rsid w:val="00034CB3"/>
    <w:rsid w:val="00035F1C"/>
    <w:rsid w:val="000372CA"/>
    <w:rsid w:val="000407C8"/>
    <w:rsid w:val="000417F6"/>
    <w:rsid w:val="00041E7F"/>
    <w:rsid w:val="00041FBC"/>
    <w:rsid w:val="00044AEA"/>
    <w:rsid w:val="00045A1E"/>
    <w:rsid w:val="00051351"/>
    <w:rsid w:val="000534A6"/>
    <w:rsid w:val="00055F61"/>
    <w:rsid w:val="00061B3E"/>
    <w:rsid w:val="0006265E"/>
    <w:rsid w:val="00067574"/>
    <w:rsid w:val="00067579"/>
    <w:rsid w:val="00070947"/>
    <w:rsid w:val="00072952"/>
    <w:rsid w:val="00081382"/>
    <w:rsid w:val="00096F27"/>
    <w:rsid w:val="000A41ED"/>
    <w:rsid w:val="000A4383"/>
    <w:rsid w:val="000A440A"/>
    <w:rsid w:val="000A4716"/>
    <w:rsid w:val="000A4BFF"/>
    <w:rsid w:val="000C0FCD"/>
    <w:rsid w:val="000C1393"/>
    <w:rsid w:val="000C1907"/>
    <w:rsid w:val="000D2552"/>
    <w:rsid w:val="000D2589"/>
    <w:rsid w:val="000D744B"/>
    <w:rsid w:val="000E0682"/>
    <w:rsid w:val="000E54F9"/>
    <w:rsid w:val="000F7ED3"/>
    <w:rsid w:val="00100676"/>
    <w:rsid w:val="001009AF"/>
    <w:rsid w:val="00112938"/>
    <w:rsid w:val="00116814"/>
    <w:rsid w:val="0011735A"/>
    <w:rsid w:val="00124116"/>
    <w:rsid w:val="001248AA"/>
    <w:rsid w:val="00132A50"/>
    <w:rsid w:val="00141EF6"/>
    <w:rsid w:val="00150284"/>
    <w:rsid w:val="00156020"/>
    <w:rsid w:val="001604F3"/>
    <w:rsid w:val="00166DD3"/>
    <w:rsid w:val="00171967"/>
    <w:rsid w:val="00187163"/>
    <w:rsid w:val="00191E00"/>
    <w:rsid w:val="001970E2"/>
    <w:rsid w:val="001A31E9"/>
    <w:rsid w:val="001A35E3"/>
    <w:rsid w:val="001C256E"/>
    <w:rsid w:val="001C47DB"/>
    <w:rsid w:val="001C6584"/>
    <w:rsid w:val="001D0953"/>
    <w:rsid w:val="001E3E7B"/>
    <w:rsid w:val="001F048C"/>
    <w:rsid w:val="001F1A92"/>
    <w:rsid w:val="001F2A1A"/>
    <w:rsid w:val="002155C0"/>
    <w:rsid w:val="00245E37"/>
    <w:rsid w:val="00250CCA"/>
    <w:rsid w:val="002606BF"/>
    <w:rsid w:val="00262920"/>
    <w:rsid w:val="00262D86"/>
    <w:rsid w:val="00267E70"/>
    <w:rsid w:val="0028006E"/>
    <w:rsid w:val="0029072E"/>
    <w:rsid w:val="002A42A8"/>
    <w:rsid w:val="002B3996"/>
    <w:rsid w:val="002C6F9B"/>
    <w:rsid w:val="002C7B6D"/>
    <w:rsid w:val="002D28FF"/>
    <w:rsid w:val="002D5BC4"/>
    <w:rsid w:val="002F5EE1"/>
    <w:rsid w:val="00307729"/>
    <w:rsid w:val="003268AA"/>
    <w:rsid w:val="00343EE0"/>
    <w:rsid w:val="003529B9"/>
    <w:rsid w:val="00353D69"/>
    <w:rsid w:val="0035575C"/>
    <w:rsid w:val="003635BB"/>
    <w:rsid w:val="00377993"/>
    <w:rsid w:val="00377CB6"/>
    <w:rsid w:val="00382B38"/>
    <w:rsid w:val="00384119"/>
    <w:rsid w:val="003876E9"/>
    <w:rsid w:val="00387D5D"/>
    <w:rsid w:val="0039164C"/>
    <w:rsid w:val="003926CA"/>
    <w:rsid w:val="00394E49"/>
    <w:rsid w:val="003B058A"/>
    <w:rsid w:val="003B08CD"/>
    <w:rsid w:val="003B322B"/>
    <w:rsid w:val="003B5A48"/>
    <w:rsid w:val="003B690A"/>
    <w:rsid w:val="003C7E7E"/>
    <w:rsid w:val="003E41C4"/>
    <w:rsid w:val="003E6650"/>
    <w:rsid w:val="003F033D"/>
    <w:rsid w:val="003F11C3"/>
    <w:rsid w:val="003F68D4"/>
    <w:rsid w:val="00400288"/>
    <w:rsid w:val="004036F5"/>
    <w:rsid w:val="00413ED2"/>
    <w:rsid w:val="00414DF1"/>
    <w:rsid w:val="00420F49"/>
    <w:rsid w:val="004234CA"/>
    <w:rsid w:val="00431048"/>
    <w:rsid w:val="00431E3C"/>
    <w:rsid w:val="004440F4"/>
    <w:rsid w:val="0044574E"/>
    <w:rsid w:val="00450269"/>
    <w:rsid w:val="004659FF"/>
    <w:rsid w:val="00495542"/>
    <w:rsid w:val="00496200"/>
    <w:rsid w:val="004A6C4C"/>
    <w:rsid w:val="004C15DE"/>
    <w:rsid w:val="004C29C7"/>
    <w:rsid w:val="004C3E82"/>
    <w:rsid w:val="004D0F05"/>
    <w:rsid w:val="004D12FC"/>
    <w:rsid w:val="004E32EF"/>
    <w:rsid w:val="004E54B7"/>
    <w:rsid w:val="004F17BA"/>
    <w:rsid w:val="00502F6B"/>
    <w:rsid w:val="0050359E"/>
    <w:rsid w:val="005038A3"/>
    <w:rsid w:val="00504BE2"/>
    <w:rsid w:val="00505D46"/>
    <w:rsid w:val="00512764"/>
    <w:rsid w:val="00516438"/>
    <w:rsid w:val="005179DB"/>
    <w:rsid w:val="00552630"/>
    <w:rsid w:val="00555B79"/>
    <w:rsid w:val="00567678"/>
    <w:rsid w:val="00574A0F"/>
    <w:rsid w:val="005771C3"/>
    <w:rsid w:val="00585210"/>
    <w:rsid w:val="00586547"/>
    <w:rsid w:val="0059334F"/>
    <w:rsid w:val="00596437"/>
    <w:rsid w:val="005A1C56"/>
    <w:rsid w:val="005B4F5D"/>
    <w:rsid w:val="005B57A0"/>
    <w:rsid w:val="005B5966"/>
    <w:rsid w:val="005C2D3D"/>
    <w:rsid w:val="005C3961"/>
    <w:rsid w:val="005C7A5C"/>
    <w:rsid w:val="005D5D09"/>
    <w:rsid w:val="005E2AC0"/>
    <w:rsid w:val="005E3CE8"/>
    <w:rsid w:val="005E62F5"/>
    <w:rsid w:val="005F45F1"/>
    <w:rsid w:val="005F64FD"/>
    <w:rsid w:val="0060582B"/>
    <w:rsid w:val="00623128"/>
    <w:rsid w:val="006233E0"/>
    <w:rsid w:val="0062394E"/>
    <w:rsid w:val="006242E8"/>
    <w:rsid w:val="006407BD"/>
    <w:rsid w:val="00643193"/>
    <w:rsid w:val="006437C4"/>
    <w:rsid w:val="0064408C"/>
    <w:rsid w:val="00652C7A"/>
    <w:rsid w:val="00653785"/>
    <w:rsid w:val="00654D08"/>
    <w:rsid w:val="006574BF"/>
    <w:rsid w:val="006706A9"/>
    <w:rsid w:val="00680BEC"/>
    <w:rsid w:val="00683261"/>
    <w:rsid w:val="00684A38"/>
    <w:rsid w:val="0068696D"/>
    <w:rsid w:val="00686D93"/>
    <w:rsid w:val="00687AFE"/>
    <w:rsid w:val="00687BC7"/>
    <w:rsid w:val="006904B3"/>
    <w:rsid w:val="00691D08"/>
    <w:rsid w:val="006B1038"/>
    <w:rsid w:val="006C2056"/>
    <w:rsid w:val="006C2716"/>
    <w:rsid w:val="006C4250"/>
    <w:rsid w:val="006C6F0D"/>
    <w:rsid w:val="006D028C"/>
    <w:rsid w:val="006E573D"/>
    <w:rsid w:val="006E58C0"/>
    <w:rsid w:val="006F078C"/>
    <w:rsid w:val="006F2F6E"/>
    <w:rsid w:val="0070763C"/>
    <w:rsid w:val="007140D3"/>
    <w:rsid w:val="00721B7E"/>
    <w:rsid w:val="007220B5"/>
    <w:rsid w:val="00735FEE"/>
    <w:rsid w:val="007512A0"/>
    <w:rsid w:val="00752BFD"/>
    <w:rsid w:val="00754CCC"/>
    <w:rsid w:val="00760BE3"/>
    <w:rsid w:val="00767135"/>
    <w:rsid w:val="00770FFC"/>
    <w:rsid w:val="0077218F"/>
    <w:rsid w:val="00775444"/>
    <w:rsid w:val="00777F4B"/>
    <w:rsid w:val="00781D0C"/>
    <w:rsid w:val="00792115"/>
    <w:rsid w:val="0079330A"/>
    <w:rsid w:val="00797A62"/>
    <w:rsid w:val="007A1C9A"/>
    <w:rsid w:val="007A7663"/>
    <w:rsid w:val="007B065C"/>
    <w:rsid w:val="007B3486"/>
    <w:rsid w:val="007B573A"/>
    <w:rsid w:val="007B5798"/>
    <w:rsid w:val="007C38A0"/>
    <w:rsid w:val="007C6EF6"/>
    <w:rsid w:val="007D708B"/>
    <w:rsid w:val="007E6053"/>
    <w:rsid w:val="007F2AF8"/>
    <w:rsid w:val="007F6D87"/>
    <w:rsid w:val="0080016D"/>
    <w:rsid w:val="00810443"/>
    <w:rsid w:val="008249F7"/>
    <w:rsid w:val="00826591"/>
    <w:rsid w:val="00830132"/>
    <w:rsid w:val="00844642"/>
    <w:rsid w:val="00856254"/>
    <w:rsid w:val="008637DD"/>
    <w:rsid w:val="00873E6B"/>
    <w:rsid w:val="008742EE"/>
    <w:rsid w:val="00880A51"/>
    <w:rsid w:val="008839CE"/>
    <w:rsid w:val="00886F73"/>
    <w:rsid w:val="0089204D"/>
    <w:rsid w:val="0089354D"/>
    <w:rsid w:val="00894320"/>
    <w:rsid w:val="00895236"/>
    <w:rsid w:val="00896C76"/>
    <w:rsid w:val="00897F63"/>
    <w:rsid w:val="008A5713"/>
    <w:rsid w:val="008A6A0B"/>
    <w:rsid w:val="008B411B"/>
    <w:rsid w:val="008B6643"/>
    <w:rsid w:val="008C66FA"/>
    <w:rsid w:val="008D154E"/>
    <w:rsid w:val="008D375D"/>
    <w:rsid w:val="008E1356"/>
    <w:rsid w:val="008E2F19"/>
    <w:rsid w:val="008E7F28"/>
    <w:rsid w:val="008F316D"/>
    <w:rsid w:val="008F66DC"/>
    <w:rsid w:val="009058C9"/>
    <w:rsid w:val="00923BAA"/>
    <w:rsid w:val="00925FE7"/>
    <w:rsid w:val="00935D9E"/>
    <w:rsid w:val="009426D3"/>
    <w:rsid w:val="00944F8F"/>
    <w:rsid w:val="0094703C"/>
    <w:rsid w:val="00947AF2"/>
    <w:rsid w:val="0095170A"/>
    <w:rsid w:val="0095204F"/>
    <w:rsid w:val="00954EDF"/>
    <w:rsid w:val="00960548"/>
    <w:rsid w:val="009610A5"/>
    <w:rsid w:val="0096777D"/>
    <w:rsid w:val="0097097A"/>
    <w:rsid w:val="009711E5"/>
    <w:rsid w:val="0097450F"/>
    <w:rsid w:val="009745FD"/>
    <w:rsid w:val="00986285"/>
    <w:rsid w:val="00986CA4"/>
    <w:rsid w:val="009900DB"/>
    <w:rsid w:val="00990C84"/>
    <w:rsid w:val="00997964"/>
    <w:rsid w:val="009A316C"/>
    <w:rsid w:val="009B124F"/>
    <w:rsid w:val="009B1EF3"/>
    <w:rsid w:val="009B6DCA"/>
    <w:rsid w:val="009C186C"/>
    <w:rsid w:val="009D7212"/>
    <w:rsid w:val="009E1BAC"/>
    <w:rsid w:val="009E43A5"/>
    <w:rsid w:val="009E4D72"/>
    <w:rsid w:val="009E6E85"/>
    <w:rsid w:val="009F00AE"/>
    <w:rsid w:val="009F6E06"/>
    <w:rsid w:val="009F721A"/>
    <w:rsid w:val="00A00578"/>
    <w:rsid w:val="00A01FE3"/>
    <w:rsid w:val="00A0654B"/>
    <w:rsid w:val="00A137C8"/>
    <w:rsid w:val="00A13941"/>
    <w:rsid w:val="00A17627"/>
    <w:rsid w:val="00A27B1C"/>
    <w:rsid w:val="00A376D9"/>
    <w:rsid w:val="00A45EF5"/>
    <w:rsid w:val="00A46548"/>
    <w:rsid w:val="00A53611"/>
    <w:rsid w:val="00A56951"/>
    <w:rsid w:val="00A60811"/>
    <w:rsid w:val="00A6156A"/>
    <w:rsid w:val="00A66FFD"/>
    <w:rsid w:val="00A675F7"/>
    <w:rsid w:val="00A71588"/>
    <w:rsid w:val="00A80C71"/>
    <w:rsid w:val="00A86F14"/>
    <w:rsid w:val="00A86F5A"/>
    <w:rsid w:val="00A87CC9"/>
    <w:rsid w:val="00AA5912"/>
    <w:rsid w:val="00AB152D"/>
    <w:rsid w:val="00AB7A8D"/>
    <w:rsid w:val="00AC1A4D"/>
    <w:rsid w:val="00AD23EA"/>
    <w:rsid w:val="00AD333E"/>
    <w:rsid w:val="00AE0D53"/>
    <w:rsid w:val="00AF574D"/>
    <w:rsid w:val="00B00313"/>
    <w:rsid w:val="00B015DE"/>
    <w:rsid w:val="00B1269A"/>
    <w:rsid w:val="00B1306E"/>
    <w:rsid w:val="00B25160"/>
    <w:rsid w:val="00B30493"/>
    <w:rsid w:val="00B4112A"/>
    <w:rsid w:val="00B422AE"/>
    <w:rsid w:val="00B44468"/>
    <w:rsid w:val="00B517DE"/>
    <w:rsid w:val="00B56DD9"/>
    <w:rsid w:val="00B656FA"/>
    <w:rsid w:val="00B7403B"/>
    <w:rsid w:val="00B77758"/>
    <w:rsid w:val="00B90359"/>
    <w:rsid w:val="00B93074"/>
    <w:rsid w:val="00B9347B"/>
    <w:rsid w:val="00B9392A"/>
    <w:rsid w:val="00B94F23"/>
    <w:rsid w:val="00BA2BCF"/>
    <w:rsid w:val="00BA65BF"/>
    <w:rsid w:val="00BB3D53"/>
    <w:rsid w:val="00BB4284"/>
    <w:rsid w:val="00BC087A"/>
    <w:rsid w:val="00BC2263"/>
    <w:rsid w:val="00BC3814"/>
    <w:rsid w:val="00BD1E2A"/>
    <w:rsid w:val="00BD32EB"/>
    <w:rsid w:val="00BD3AE2"/>
    <w:rsid w:val="00BE151D"/>
    <w:rsid w:val="00BF1C54"/>
    <w:rsid w:val="00BF3A04"/>
    <w:rsid w:val="00C079F0"/>
    <w:rsid w:val="00C152DE"/>
    <w:rsid w:val="00C22A6A"/>
    <w:rsid w:val="00C2718F"/>
    <w:rsid w:val="00C37724"/>
    <w:rsid w:val="00C511A9"/>
    <w:rsid w:val="00C519AC"/>
    <w:rsid w:val="00C51FB3"/>
    <w:rsid w:val="00C706C7"/>
    <w:rsid w:val="00C74ABA"/>
    <w:rsid w:val="00C9247A"/>
    <w:rsid w:val="00C9541C"/>
    <w:rsid w:val="00CA1ACA"/>
    <w:rsid w:val="00CA1D20"/>
    <w:rsid w:val="00CA53FF"/>
    <w:rsid w:val="00CB6FE7"/>
    <w:rsid w:val="00CC4C4A"/>
    <w:rsid w:val="00CD6A06"/>
    <w:rsid w:val="00CE3EDB"/>
    <w:rsid w:val="00CE745D"/>
    <w:rsid w:val="00CE7ED0"/>
    <w:rsid w:val="00CF0BF7"/>
    <w:rsid w:val="00CF191E"/>
    <w:rsid w:val="00CF27CF"/>
    <w:rsid w:val="00CF5EF3"/>
    <w:rsid w:val="00CF700C"/>
    <w:rsid w:val="00CF7E50"/>
    <w:rsid w:val="00D00238"/>
    <w:rsid w:val="00D01E62"/>
    <w:rsid w:val="00D0517C"/>
    <w:rsid w:val="00D07C76"/>
    <w:rsid w:val="00D15C37"/>
    <w:rsid w:val="00D23F79"/>
    <w:rsid w:val="00D3152D"/>
    <w:rsid w:val="00D31A11"/>
    <w:rsid w:val="00D323F6"/>
    <w:rsid w:val="00D327B2"/>
    <w:rsid w:val="00D340D6"/>
    <w:rsid w:val="00D372C2"/>
    <w:rsid w:val="00D37CD7"/>
    <w:rsid w:val="00D44DC7"/>
    <w:rsid w:val="00D505BA"/>
    <w:rsid w:val="00D528A1"/>
    <w:rsid w:val="00D61290"/>
    <w:rsid w:val="00D62EFC"/>
    <w:rsid w:val="00D63BF9"/>
    <w:rsid w:val="00D70AFA"/>
    <w:rsid w:val="00D72570"/>
    <w:rsid w:val="00D90D9A"/>
    <w:rsid w:val="00DA07F1"/>
    <w:rsid w:val="00DA0D05"/>
    <w:rsid w:val="00DA732D"/>
    <w:rsid w:val="00DB2E0C"/>
    <w:rsid w:val="00DB468C"/>
    <w:rsid w:val="00DB4E3E"/>
    <w:rsid w:val="00DC03F4"/>
    <w:rsid w:val="00DC36D9"/>
    <w:rsid w:val="00DC3B9D"/>
    <w:rsid w:val="00DD167A"/>
    <w:rsid w:val="00DE3267"/>
    <w:rsid w:val="00DE4D2A"/>
    <w:rsid w:val="00DE6E1C"/>
    <w:rsid w:val="00DE6FEB"/>
    <w:rsid w:val="00DF58B8"/>
    <w:rsid w:val="00DF5E1B"/>
    <w:rsid w:val="00DF7D4E"/>
    <w:rsid w:val="00E03FA9"/>
    <w:rsid w:val="00E34466"/>
    <w:rsid w:val="00E35047"/>
    <w:rsid w:val="00E410F9"/>
    <w:rsid w:val="00E43AD3"/>
    <w:rsid w:val="00E4415E"/>
    <w:rsid w:val="00E57A1E"/>
    <w:rsid w:val="00E61E5F"/>
    <w:rsid w:val="00E62CEE"/>
    <w:rsid w:val="00E63528"/>
    <w:rsid w:val="00E64420"/>
    <w:rsid w:val="00E64F33"/>
    <w:rsid w:val="00E75515"/>
    <w:rsid w:val="00E77B94"/>
    <w:rsid w:val="00E9070F"/>
    <w:rsid w:val="00E92680"/>
    <w:rsid w:val="00E940FB"/>
    <w:rsid w:val="00E9550E"/>
    <w:rsid w:val="00EA355E"/>
    <w:rsid w:val="00EB5D7A"/>
    <w:rsid w:val="00EB7626"/>
    <w:rsid w:val="00EC70CB"/>
    <w:rsid w:val="00ED0DDD"/>
    <w:rsid w:val="00ED2E1A"/>
    <w:rsid w:val="00EE0D05"/>
    <w:rsid w:val="00EE7BE9"/>
    <w:rsid w:val="00EF44F0"/>
    <w:rsid w:val="00EF61A2"/>
    <w:rsid w:val="00EF7B37"/>
    <w:rsid w:val="00F01EDF"/>
    <w:rsid w:val="00F04542"/>
    <w:rsid w:val="00F04E7C"/>
    <w:rsid w:val="00F20435"/>
    <w:rsid w:val="00F2052A"/>
    <w:rsid w:val="00F21D9A"/>
    <w:rsid w:val="00F23AA9"/>
    <w:rsid w:val="00F3210E"/>
    <w:rsid w:val="00F3360D"/>
    <w:rsid w:val="00F463A8"/>
    <w:rsid w:val="00F54B1E"/>
    <w:rsid w:val="00F615B2"/>
    <w:rsid w:val="00F63119"/>
    <w:rsid w:val="00F66850"/>
    <w:rsid w:val="00F6748C"/>
    <w:rsid w:val="00F72092"/>
    <w:rsid w:val="00F7263B"/>
    <w:rsid w:val="00F75999"/>
    <w:rsid w:val="00F76403"/>
    <w:rsid w:val="00F801D5"/>
    <w:rsid w:val="00F821DF"/>
    <w:rsid w:val="00F90D3E"/>
    <w:rsid w:val="00F93BA0"/>
    <w:rsid w:val="00F975DA"/>
    <w:rsid w:val="00FA0BFE"/>
    <w:rsid w:val="00FA7BF6"/>
    <w:rsid w:val="00FC3C30"/>
    <w:rsid w:val="00FD50F4"/>
    <w:rsid w:val="00FD62FF"/>
    <w:rsid w:val="00FD7085"/>
    <w:rsid w:val="00FF61A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7B"/>
  </w:style>
  <w:style w:type="paragraph" w:styleId="Heading1">
    <w:name w:val="heading 1"/>
    <w:basedOn w:val="Normal"/>
    <w:next w:val="Normal"/>
    <w:link w:val="Heading1Char"/>
    <w:uiPriority w:val="9"/>
    <w:qFormat/>
    <w:rsid w:val="00FF6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61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6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7B"/>
    <w:rPr>
      <w:rFonts w:ascii="Tahoma" w:hAnsi="Tahoma" w:cs="Tahoma"/>
      <w:sz w:val="16"/>
      <w:szCs w:val="16"/>
    </w:rPr>
  </w:style>
  <w:style w:type="paragraph" w:styleId="ListParagraph">
    <w:name w:val="List Paragraph"/>
    <w:basedOn w:val="Normal"/>
    <w:uiPriority w:val="34"/>
    <w:qFormat/>
    <w:rsid w:val="001E3E7B"/>
    <w:pPr>
      <w:ind w:left="720"/>
      <w:contextualSpacing/>
    </w:pPr>
  </w:style>
  <w:style w:type="paragraph" w:styleId="NormalWeb">
    <w:name w:val="Normal (Web)"/>
    <w:basedOn w:val="Normal"/>
    <w:uiPriority w:val="99"/>
    <w:semiHidden/>
    <w:unhideWhenUsed/>
    <w:rsid w:val="001E3E7B"/>
    <w:pPr>
      <w:spacing w:before="180" w:after="180" w:line="240" w:lineRule="auto"/>
      <w:ind w:firstLine="240"/>
    </w:pPr>
    <w:rPr>
      <w:rFonts w:ascii="Times New Roman" w:eastAsia="Times New Roman" w:hAnsi="Times New Roman" w:cs="Times New Roman"/>
      <w:color w:val="444444"/>
      <w:sz w:val="24"/>
      <w:szCs w:val="24"/>
      <w:lang w:eastAsia="en-AU"/>
    </w:rPr>
  </w:style>
  <w:style w:type="paragraph" w:styleId="FootnoteText">
    <w:name w:val="footnote text"/>
    <w:basedOn w:val="Normal"/>
    <w:link w:val="FootnoteTextChar"/>
    <w:uiPriority w:val="99"/>
    <w:semiHidden/>
    <w:unhideWhenUsed/>
    <w:rsid w:val="001E3E7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E3E7B"/>
    <w:rPr>
      <w:sz w:val="20"/>
      <w:szCs w:val="20"/>
      <w:lang w:val="en-US"/>
    </w:rPr>
  </w:style>
  <w:style w:type="character" w:styleId="FootnoteReference">
    <w:name w:val="footnote reference"/>
    <w:basedOn w:val="DefaultParagraphFont"/>
    <w:uiPriority w:val="99"/>
    <w:semiHidden/>
    <w:unhideWhenUsed/>
    <w:rsid w:val="001E3E7B"/>
    <w:rPr>
      <w:vertAlign w:val="superscript"/>
    </w:rPr>
  </w:style>
  <w:style w:type="character" w:styleId="Hyperlink">
    <w:name w:val="Hyperlink"/>
    <w:basedOn w:val="DefaultParagraphFont"/>
    <w:uiPriority w:val="99"/>
    <w:unhideWhenUsed/>
    <w:rsid w:val="001E3E7B"/>
    <w:rPr>
      <w:color w:val="0000FF" w:themeColor="hyperlink"/>
      <w:u w:val="single"/>
    </w:rPr>
  </w:style>
  <w:style w:type="paragraph" w:styleId="Header">
    <w:name w:val="header"/>
    <w:basedOn w:val="Normal"/>
    <w:link w:val="HeaderChar"/>
    <w:uiPriority w:val="99"/>
    <w:unhideWhenUsed/>
    <w:rsid w:val="00F33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0D"/>
  </w:style>
  <w:style w:type="paragraph" w:styleId="Footer">
    <w:name w:val="footer"/>
    <w:basedOn w:val="Normal"/>
    <w:link w:val="FooterChar"/>
    <w:uiPriority w:val="99"/>
    <w:unhideWhenUsed/>
    <w:rsid w:val="00F33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60D"/>
  </w:style>
  <w:style w:type="character" w:customStyle="1" w:styleId="Heading1Char">
    <w:name w:val="Heading 1 Char"/>
    <w:basedOn w:val="DefaultParagraphFont"/>
    <w:link w:val="Heading1"/>
    <w:uiPriority w:val="9"/>
    <w:rsid w:val="00FF61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F61A6"/>
    <w:pPr>
      <w:outlineLvl w:val="9"/>
    </w:pPr>
    <w:rPr>
      <w:lang w:val="en-US" w:eastAsia="ja-JP"/>
    </w:rPr>
  </w:style>
  <w:style w:type="character" w:customStyle="1" w:styleId="Heading2Char">
    <w:name w:val="Heading 2 Char"/>
    <w:basedOn w:val="DefaultParagraphFont"/>
    <w:link w:val="Heading2"/>
    <w:uiPriority w:val="9"/>
    <w:rsid w:val="00FF61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61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61A6"/>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9745FD"/>
    <w:pPr>
      <w:spacing w:after="100"/>
    </w:pPr>
  </w:style>
  <w:style w:type="paragraph" w:styleId="TOC2">
    <w:name w:val="toc 2"/>
    <w:basedOn w:val="Normal"/>
    <w:next w:val="Normal"/>
    <w:autoRedefine/>
    <w:uiPriority w:val="39"/>
    <w:unhideWhenUsed/>
    <w:qFormat/>
    <w:rsid w:val="009745FD"/>
    <w:pPr>
      <w:spacing w:after="100"/>
      <w:ind w:left="220"/>
    </w:pPr>
  </w:style>
  <w:style w:type="paragraph" w:styleId="TOC3">
    <w:name w:val="toc 3"/>
    <w:basedOn w:val="Normal"/>
    <w:next w:val="Normal"/>
    <w:autoRedefine/>
    <w:uiPriority w:val="39"/>
    <w:unhideWhenUsed/>
    <w:qFormat/>
    <w:rsid w:val="009745FD"/>
    <w:pPr>
      <w:spacing w:after="100"/>
      <w:ind w:left="440"/>
    </w:pPr>
  </w:style>
  <w:style w:type="paragraph" w:customStyle="1" w:styleId="Indent1">
    <w:name w:val="Indent 1"/>
    <w:basedOn w:val="Normal"/>
    <w:rsid w:val="00307729"/>
    <w:pPr>
      <w:numPr>
        <w:ilvl w:val="1"/>
        <w:numId w:val="18"/>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sz w:val="20"/>
      <w:szCs w:val="21"/>
    </w:rPr>
  </w:style>
  <w:style w:type="paragraph" w:customStyle="1" w:styleId="Indent2">
    <w:name w:val="Indent 2"/>
    <w:basedOn w:val="Indent1"/>
    <w:rsid w:val="00307729"/>
    <w:pPr>
      <w:numPr>
        <w:ilvl w:val="2"/>
      </w:numPr>
    </w:pPr>
  </w:style>
  <w:style w:type="paragraph" w:customStyle="1" w:styleId="Indent3">
    <w:name w:val="Indent 3"/>
    <w:basedOn w:val="Indent2"/>
    <w:rsid w:val="00307729"/>
    <w:pPr>
      <w:numPr>
        <w:ilvl w:val="3"/>
      </w:numPr>
    </w:pPr>
  </w:style>
  <w:style w:type="paragraph" w:customStyle="1" w:styleId="Indent5">
    <w:name w:val="Indent 5"/>
    <w:basedOn w:val="Indent4"/>
    <w:rsid w:val="00307729"/>
    <w:pPr>
      <w:numPr>
        <w:ilvl w:val="5"/>
      </w:numPr>
    </w:pPr>
  </w:style>
  <w:style w:type="paragraph" w:customStyle="1" w:styleId="Indent6">
    <w:name w:val="Indent 6"/>
    <w:basedOn w:val="Indent5"/>
    <w:rsid w:val="00307729"/>
    <w:pPr>
      <w:numPr>
        <w:ilvl w:val="6"/>
      </w:numPr>
    </w:pPr>
  </w:style>
  <w:style w:type="paragraph" w:customStyle="1" w:styleId="Indent7">
    <w:name w:val="Indent 7"/>
    <w:basedOn w:val="Indent6"/>
    <w:rsid w:val="00307729"/>
    <w:pPr>
      <w:numPr>
        <w:ilvl w:val="7"/>
      </w:numPr>
    </w:pPr>
  </w:style>
  <w:style w:type="paragraph" w:customStyle="1" w:styleId="Indent4">
    <w:name w:val="Indent 4"/>
    <w:basedOn w:val="Indent3"/>
    <w:rsid w:val="00307729"/>
    <w:pPr>
      <w:numPr>
        <w:ilvl w:val="4"/>
      </w:numPr>
    </w:pPr>
  </w:style>
  <w:style w:type="paragraph" w:customStyle="1" w:styleId="PwCNormal">
    <w:name w:val="PwC Normal"/>
    <w:aliases w:val="n"/>
    <w:basedOn w:val="Normal"/>
    <w:link w:val="PwCNormalChar"/>
    <w:rsid w:val="00307729"/>
    <w:pPr>
      <w:numPr>
        <w:numId w:val="18"/>
      </w:numPr>
      <w:kinsoku w:val="0"/>
      <w:overflowPunct w:val="0"/>
      <w:autoSpaceDE w:val="0"/>
      <w:autoSpaceDN w:val="0"/>
      <w:adjustRightInd w:val="0"/>
      <w:snapToGrid w:val="0"/>
      <w:spacing w:after="240" w:line="240" w:lineRule="auto"/>
    </w:pPr>
    <w:rPr>
      <w:rFonts w:ascii="Georgia" w:eastAsia="Times New Roman" w:hAnsi="Georgia" w:cs="Arial"/>
      <w:snapToGrid w:val="0"/>
      <w:sz w:val="20"/>
      <w:szCs w:val="21"/>
    </w:rPr>
  </w:style>
  <w:style w:type="character" w:customStyle="1" w:styleId="PwCNormalChar">
    <w:name w:val="PwC Normal Char"/>
    <w:aliases w:val="n Char Char,n Char"/>
    <w:basedOn w:val="DefaultParagraphFont"/>
    <w:link w:val="PwCNormal"/>
    <w:rsid w:val="00307729"/>
    <w:rPr>
      <w:rFonts w:ascii="Georgia" w:eastAsia="Times New Roman" w:hAnsi="Georgia" w:cs="Arial"/>
      <w:snapToGrid w:val="0"/>
      <w:sz w:val="20"/>
      <w:szCs w:val="21"/>
    </w:rPr>
  </w:style>
  <w:style w:type="paragraph" w:customStyle="1" w:styleId="Indent8">
    <w:name w:val="Indent 8"/>
    <w:basedOn w:val="Indent7"/>
    <w:rsid w:val="00307729"/>
    <w:pPr>
      <w:numPr>
        <w:ilvl w:val="8"/>
      </w:numPr>
    </w:pPr>
  </w:style>
  <w:style w:type="numbering" w:customStyle="1" w:styleId="Style1">
    <w:name w:val="Style1"/>
    <w:uiPriority w:val="99"/>
    <w:rsid w:val="00844642"/>
    <w:pPr>
      <w:numPr>
        <w:numId w:val="22"/>
      </w:numPr>
    </w:pPr>
  </w:style>
  <w:style w:type="numbering" w:customStyle="1" w:styleId="Style2">
    <w:name w:val="Style2"/>
    <w:uiPriority w:val="99"/>
    <w:rsid w:val="00844642"/>
    <w:pPr>
      <w:numPr>
        <w:numId w:val="23"/>
      </w:numPr>
    </w:pPr>
  </w:style>
  <w:style w:type="numbering" w:customStyle="1" w:styleId="Style3">
    <w:name w:val="Style3"/>
    <w:uiPriority w:val="99"/>
    <w:rsid w:val="00844642"/>
    <w:pPr>
      <w:numPr>
        <w:numId w:val="24"/>
      </w:numPr>
    </w:pPr>
  </w:style>
  <w:style w:type="numbering" w:customStyle="1" w:styleId="Style4">
    <w:name w:val="Style4"/>
    <w:uiPriority w:val="99"/>
    <w:rsid w:val="00844642"/>
    <w:pPr>
      <w:numPr>
        <w:numId w:val="25"/>
      </w:numPr>
    </w:pPr>
  </w:style>
  <w:style w:type="numbering" w:customStyle="1" w:styleId="Style5">
    <w:name w:val="Style5"/>
    <w:uiPriority w:val="99"/>
    <w:rsid w:val="00F04542"/>
    <w:pPr>
      <w:numPr>
        <w:numId w:val="26"/>
      </w:numPr>
    </w:pPr>
  </w:style>
  <w:style w:type="paragraph" w:styleId="TOC4">
    <w:name w:val="toc 4"/>
    <w:basedOn w:val="Normal"/>
    <w:next w:val="Normal"/>
    <w:autoRedefine/>
    <w:uiPriority w:val="39"/>
    <w:unhideWhenUsed/>
    <w:rsid w:val="00BB4284"/>
    <w:pPr>
      <w:spacing w:after="100"/>
      <w:ind w:left="660"/>
    </w:pPr>
    <w:rPr>
      <w:rFonts w:eastAsiaTheme="minorEastAsia"/>
      <w:lang w:eastAsia="en-AU"/>
    </w:rPr>
  </w:style>
  <w:style w:type="paragraph" w:styleId="TOC5">
    <w:name w:val="toc 5"/>
    <w:basedOn w:val="Normal"/>
    <w:next w:val="Normal"/>
    <w:autoRedefine/>
    <w:uiPriority w:val="39"/>
    <w:unhideWhenUsed/>
    <w:rsid w:val="00BB4284"/>
    <w:pPr>
      <w:spacing w:after="100"/>
      <w:ind w:left="880"/>
    </w:pPr>
    <w:rPr>
      <w:rFonts w:eastAsiaTheme="minorEastAsia"/>
      <w:lang w:eastAsia="en-AU"/>
    </w:rPr>
  </w:style>
  <w:style w:type="paragraph" w:styleId="TOC6">
    <w:name w:val="toc 6"/>
    <w:basedOn w:val="Normal"/>
    <w:next w:val="Normal"/>
    <w:autoRedefine/>
    <w:uiPriority w:val="39"/>
    <w:unhideWhenUsed/>
    <w:rsid w:val="00BB4284"/>
    <w:pPr>
      <w:spacing w:after="100"/>
      <w:ind w:left="1100"/>
    </w:pPr>
    <w:rPr>
      <w:rFonts w:eastAsiaTheme="minorEastAsia"/>
      <w:lang w:eastAsia="en-AU"/>
    </w:rPr>
  </w:style>
  <w:style w:type="paragraph" w:styleId="TOC7">
    <w:name w:val="toc 7"/>
    <w:basedOn w:val="Normal"/>
    <w:next w:val="Normal"/>
    <w:autoRedefine/>
    <w:uiPriority w:val="39"/>
    <w:unhideWhenUsed/>
    <w:rsid w:val="00BB4284"/>
    <w:pPr>
      <w:spacing w:after="100"/>
      <w:ind w:left="1320"/>
    </w:pPr>
    <w:rPr>
      <w:rFonts w:eastAsiaTheme="minorEastAsia"/>
      <w:lang w:eastAsia="en-AU"/>
    </w:rPr>
  </w:style>
  <w:style w:type="paragraph" w:styleId="TOC8">
    <w:name w:val="toc 8"/>
    <w:basedOn w:val="Normal"/>
    <w:next w:val="Normal"/>
    <w:autoRedefine/>
    <w:uiPriority w:val="39"/>
    <w:unhideWhenUsed/>
    <w:rsid w:val="00BB4284"/>
    <w:pPr>
      <w:spacing w:after="100"/>
      <w:ind w:left="1540"/>
    </w:pPr>
    <w:rPr>
      <w:rFonts w:eastAsiaTheme="minorEastAsia"/>
      <w:lang w:eastAsia="en-AU"/>
    </w:rPr>
  </w:style>
  <w:style w:type="paragraph" w:styleId="TOC9">
    <w:name w:val="toc 9"/>
    <w:basedOn w:val="Normal"/>
    <w:next w:val="Normal"/>
    <w:autoRedefine/>
    <w:uiPriority w:val="39"/>
    <w:unhideWhenUsed/>
    <w:rsid w:val="00BB4284"/>
    <w:pPr>
      <w:spacing w:after="100"/>
      <w:ind w:left="1760"/>
    </w:pPr>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7B"/>
  </w:style>
  <w:style w:type="paragraph" w:styleId="Heading1">
    <w:name w:val="heading 1"/>
    <w:basedOn w:val="Normal"/>
    <w:next w:val="Normal"/>
    <w:link w:val="Heading1Char"/>
    <w:uiPriority w:val="9"/>
    <w:qFormat/>
    <w:rsid w:val="00FF6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61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6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7B"/>
    <w:rPr>
      <w:rFonts w:ascii="Tahoma" w:hAnsi="Tahoma" w:cs="Tahoma"/>
      <w:sz w:val="16"/>
      <w:szCs w:val="16"/>
    </w:rPr>
  </w:style>
  <w:style w:type="paragraph" w:styleId="ListParagraph">
    <w:name w:val="List Paragraph"/>
    <w:basedOn w:val="Normal"/>
    <w:uiPriority w:val="34"/>
    <w:qFormat/>
    <w:rsid w:val="001E3E7B"/>
    <w:pPr>
      <w:ind w:left="720"/>
      <w:contextualSpacing/>
    </w:pPr>
  </w:style>
  <w:style w:type="paragraph" w:styleId="NormalWeb">
    <w:name w:val="Normal (Web)"/>
    <w:basedOn w:val="Normal"/>
    <w:uiPriority w:val="99"/>
    <w:semiHidden/>
    <w:unhideWhenUsed/>
    <w:rsid w:val="001E3E7B"/>
    <w:pPr>
      <w:spacing w:before="180" w:after="180" w:line="240" w:lineRule="auto"/>
      <w:ind w:firstLine="240"/>
    </w:pPr>
    <w:rPr>
      <w:rFonts w:ascii="Times New Roman" w:eastAsia="Times New Roman" w:hAnsi="Times New Roman" w:cs="Times New Roman"/>
      <w:color w:val="444444"/>
      <w:sz w:val="24"/>
      <w:szCs w:val="24"/>
      <w:lang w:eastAsia="en-AU"/>
    </w:rPr>
  </w:style>
  <w:style w:type="paragraph" w:styleId="FootnoteText">
    <w:name w:val="footnote text"/>
    <w:basedOn w:val="Normal"/>
    <w:link w:val="FootnoteTextChar"/>
    <w:uiPriority w:val="99"/>
    <w:semiHidden/>
    <w:unhideWhenUsed/>
    <w:rsid w:val="001E3E7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E3E7B"/>
    <w:rPr>
      <w:sz w:val="20"/>
      <w:szCs w:val="20"/>
      <w:lang w:val="en-US"/>
    </w:rPr>
  </w:style>
  <w:style w:type="character" w:styleId="FootnoteReference">
    <w:name w:val="footnote reference"/>
    <w:basedOn w:val="DefaultParagraphFont"/>
    <w:uiPriority w:val="99"/>
    <w:semiHidden/>
    <w:unhideWhenUsed/>
    <w:rsid w:val="001E3E7B"/>
    <w:rPr>
      <w:vertAlign w:val="superscript"/>
    </w:rPr>
  </w:style>
  <w:style w:type="character" w:styleId="Hyperlink">
    <w:name w:val="Hyperlink"/>
    <w:basedOn w:val="DefaultParagraphFont"/>
    <w:uiPriority w:val="99"/>
    <w:unhideWhenUsed/>
    <w:rsid w:val="001E3E7B"/>
    <w:rPr>
      <w:color w:val="0000FF" w:themeColor="hyperlink"/>
      <w:u w:val="single"/>
    </w:rPr>
  </w:style>
  <w:style w:type="paragraph" w:styleId="Header">
    <w:name w:val="header"/>
    <w:basedOn w:val="Normal"/>
    <w:link w:val="HeaderChar"/>
    <w:uiPriority w:val="99"/>
    <w:unhideWhenUsed/>
    <w:rsid w:val="00F33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0D"/>
  </w:style>
  <w:style w:type="paragraph" w:styleId="Footer">
    <w:name w:val="footer"/>
    <w:basedOn w:val="Normal"/>
    <w:link w:val="FooterChar"/>
    <w:uiPriority w:val="99"/>
    <w:unhideWhenUsed/>
    <w:rsid w:val="00F33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60D"/>
  </w:style>
  <w:style w:type="character" w:customStyle="1" w:styleId="Heading1Char">
    <w:name w:val="Heading 1 Char"/>
    <w:basedOn w:val="DefaultParagraphFont"/>
    <w:link w:val="Heading1"/>
    <w:uiPriority w:val="9"/>
    <w:rsid w:val="00FF61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F61A6"/>
    <w:pPr>
      <w:outlineLvl w:val="9"/>
    </w:pPr>
    <w:rPr>
      <w:lang w:val="en-US" w:eastAsia="ja-JP"/>
    </w:rPr>
  </w:style>
  <w:style w:type="character" w:customStyle="1" w:styleId="Heading2Char">
    <w:name w:val="Heading 2 Char"/>
    <w:basedOn w:val="DefaultParagraphFont"/>
    <w:link w:val="Heading2"/>
    <w:uiPriority w:val="9"/>
    <w:rsid w:val="00FF61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61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61A6"/>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9745FD"/>
    <w:pPr>
      <w:spacing w:after="100"/>
    </w:pPr>
  </w:style>
  <w:style w:type="paragraph" w:styleId="TOC2">
    <w:name w:val="toc 2"/>
    <w:basedOn w:val="Normal"/>
    <w:next w:val="Normal"/>
    <w:autoRedefine/>
    <w:uiPriority w:val="39"/>
    <w:unhideWhenUsed/>
    <w:qFormat/>
    <w:rsid w:val="009745FD"/>
    <w:pPr>
      <w:spacing w:after="100"/>
      <w:ind w:left="220"/>
    </w:pPr>
  </w:style>
  <w:style w:type="paragraph" w:styleId="TOC3">
    <w:name w:val="toc 3"/>
    <w:basedOn w:val="Normal"/>
    <w:next w:val="Normal"/>
    <w:autoRedefine/>
    <w:uiPriority w:val="39"/>
    <w:unhideWhenUsed/>
    <w:qFormat/>
    <w:rsid w:val="009745FD"/>
    <w:pPr>
      <w:spacing w:after="100"/>
      <w:ind w:left="440"/>
    </w:pPr>
  </w:style>
  <w:style w:type="paragraph" w:customStyle="1" w:styleId="Indent1">
    <w:name w:val="Indent 1"/>
    <w:basedOn w:val="Normal"/>
    <w:rsid w:val="00307729"/>
    <w:pPr>
      <w:numPr>
        <w:ilvl w:val="1"/>
        <w:numId w:val="18"/>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sz w:val="20"/>
      <w:szCs w:val="21"/>
    </w:rPr>
  </w:style>
  <w:style w:type="paragraph" w:customStyle="1" w:styleId="Indent2">
    <w:name w:val="Indent 2"/>
    <w:basedOn w:val="Indent1"/>
    <w:rsid w:val="00307729"/>
    <w:pPr>
      <w:numPr>
        <w:ilvl w:val="2"/>
      </w:numPr>
    </w:pPr>
  </w:style>
  <w:style w:type="paragraph" w:customStyle="1" w:styleId="Indent3">
    <w:name w:val="Indent 3"/>
    <w:basedOn w:val="Indent2"/>
    <w:rsid w:val="00307729"/>
    <w:pPr>
      <w:numPr>
        <w:ilvl w:val="3"/>
      </w:numPr>
    </w:pPr>
  </w:style>
  <w:style w:type="paragraph" w:customStyle="1" w:styleId="Indent5">
    <w:name w:val="Indent 5"/>
    <w:basedOn w:val="Indent4"/>
    <w:rsid w:val="00307729"/>
    <w:pPr>
      <w:numPr>
        <w:ilvl w:val="5"/>
      </w:numPr>
    </w:pPr>
  </w:style>
  <w:style w:type="paragraph" w:customStyle="1" w:styleId="Indent6">
    <w:name w:val="Indent 6"/>
    <w:basedOn w:val="Indent5"/>
    <w:rsid w:val="00307729"/>
    <w:pPr>
      <w:numPr>
        <w:ilvl w:val="6"/>
      </w:numPr>
    </w:pPr>
  </w:style>
  <w:style w:type="paragraph" w:customStyle="1" w:styleId="Indent7">
    <w:name w:val="Indent 7"/>
    <w:basedOn w:val="Indent6"/>
    <w:rsid w:val="00307729"/>
    <w:pPr>
      <w:numPr>
        <w:ilvl w:val="7"/>
      </w:numPr>
    </w:pPr>
  </w:style>
  <w:style w:type="paragraph" w:customStyle="1" w:styleId="Indent4">
    <w:name w:val="Indent 4"/>
    <w:basedOn w:val="Indent3"/>
    <w:rsid w:val="00307729"/>
    <w:pPr>
      <w:numPr>
        <w:ilvl w:val="4"/>
      </w:numPr>
    </w:pPr>
  </w:style>
  <w:style w:type="paragraph" w:customStyle="1" w:styleId="PwCNormal">
    <w:name w:val="PwC Normal"/>
    <w:aliases w:val="n"/>
    <w:basedOn w:val="Normal"/>
    <w:link w:val="PwCNormalChar"/>
    <w:rsid w:val="00307729"/>
    <w:pPr>
      <w:numPr>
        <w:numId w:val="18"/>
      </w:numPr>
      <w:kinsoku w:val="0"/>
      <w:overflowPunct w:val="0"/>
      <w:autoSpaceDE w:val="0"/>
      <w:autoSpaceDN w:val="0"/>
      <w:adjustRightInd w:val="0"/>
      <w:snapToGrid w:val="0"/>
      <w:spacing w:after="240" w:line="240" w:lineRule="auto"/>
    </w:pPr>
    <w:rPr>
      <w:rFonts w:ascii="Georgia" w:eastAsia="Times New Roman" w:hAnsi="Georgia" w:cs="Arial"/>
      <w:snapToGrid w:val="0"/>
      <w:sz w:val="20"/>
      <w:szCs w:val="21"/>
    </w:rPr>
  </w:style>
  <w:style w:type="character" w:customStyle="1" w:styleId="PwCNormalChar">
    <w:name w:val="PwC Normal Char"/>
    <w:aliases w:val="n Char Char,n Char"/>
    <w:basedOn w:val="DefaultParagraphFont"/>
    <w:link w:val="PwCNormal"/>
    <w:rsid w:val="00307729"/>
    <w:rPr>
      <w:rFonts w:ascii="Georgia" w:eastAsia="Times New Roman" w:hAnsi="Georgia" w:cs="Arial"/>
      <w:snapToGrid w:val="0"/>
      <w:sz w:val="20"/>
      <w:szCs w:val="21"/>
    </w:rPr>
  </w:style>
  <w:style w:type="paragraph" w:customStyle="1" w:styleId="Indent8">
    <w:name w:val="Indent 8"/>
    <w:basedOn w:val="Indent7"/>
    <w:rsid w:val="00307729"/>
    <w:pPr>
      <w:numPr>
        <w:ilvl w:val="8"/>
      </w:numPr>
    </w:pPr>
  </w:style>
  <w:style w:type="numbering" w:customStyle="1" w:styleId="Style1">
    <w:name w:val="Style1"/>
    <w:uiPriority w:val="99"/>
    <w:rsid w:val="00844642"/>
    <w:pPr>
      <w:numPr>
        <w:numId w:val="22"/>
      </w:numPr>
    </w:pPr>
  </w:style>
  <w:style w:type="numbering" w:customStyle="1" w:styleId="Style2">
    <w:name w:val="Style2"/>
    <w:uiPriority w:val="99"/>
    <w:rsid w:val="00844642"/>
    <w:pPr>
      <w:numPr>
        <w:numId w:val="23"/>
      </w:numPr>
    </w:pPr>
  </w:style>
  <w:style w:type="numbering" w:customStyle="1" w:styleId="Style3">
    <w:name w:val="Style3"/>
    <w:uiPriority w:val="99"/>
    <w:rsid w:val="00844642"/>
    <w:pPr>
      <w:numPr>
        <w:numId w:val="24"/>
      </w:numPr>
    </w:pPr>
  </w:style>
  <w:style w:type="numbering" w:customStyle="1" w:styleId="Style4">
    <w:name w:val="Style4"/>
    <w:uiPriority w:val="99"/>
    <w:rsid w:val="00844642"/>
    <w:pPr>
      <w:numPr>
        <w:numId w:val="25"/>
      </w:numPr>
    </w:pPr>
  </w:style>
  <w:style w:type="numbering" w:customStyle="1" w:styleId="Style5">
    <w:name w:val="Style5"/>
    <w:uiPriority w:val="99"/>
    <w:rsid w:val="00F04542"/>
    <w:pPr>
      <w:numPr>
        <w:numId w:val="26"/>
      </w:numPr>
    </w:pPr>
  </w:style>
  <w:style w:type="paragraph" w:styleId="TOC4">
    <w:name w:val="toc 4"/>
    <w:basedOn w:val="Normal"/>
    <w:next w:val="Normal"/>
    <w:autoRedefine/>
    <w:uiPriority w:val="39"/>
    <w:unhideWhenUsed/>
    <w:rsid w:val="00BB4284"/>
    <w:pPr>
      <w:spacing w:after="100"/>
      <w:ind w:left="660"/>
    </w:pPr>
    <w:rPr>
      <w:rFonts w:eastAsiaTheme="minorEastAsia"/>
      <w:lang w:eastAsia="en-AU"/>
    </w:rPr>
  </w:style>
  <w:style w:type="paragraph" w:styleId="TOC5">
    <w:name w:val="toc 5"/>
    <w:basedOn w:val="Normal"/>
    <w:next w:val="Normal"/>
    <w:autoRedefine/>
    <w:uiPriority w:val="39"/>
    <w:unhideWhenUsed/>
    <w:rsid w:val="00BB4284"/>
    <w:pPr>
      <w:spacing w:after="100"/>
      <w:ind w:left="880"/>
    </w:pPr>
    <w:rPr>
      <w:rFonts w:eastAsiaTheme="minorEastAsia"/>
      <w:lang w:eastAsia="en-AU"/>
    </w:rPr>
  </w:style>
  <w:style w:type="paragraph" w:styleId="TOC6">
    <w:name w:val="toc 6"/>
    <w:basedOn w:val="Normal"/>
    <w:next w:val="Normal"/>
    <w:autoRedefine/>
    <w:uiPriority w:val="39"/>
    <w:unhideWhenUsed/>
    <w:rsid w:val="00BB4284"/>
    <w:pPr>
      <w:spacing w:after="100"/>
      <w:ind w:left="1100"/>
    </w:pPr>
    <w:rPr>
      <w:rFonts w:eastAsiaTheme="minorEastAsia"/>
      <w:lang w:eastAsia="en-AU"/>
    </w:rPr>
  </w:style>
  <w:style w:type="paragraph" w:styleId="TOC7">
    <w:name w:val="toc 7"/>
    <w:basedOn w:val="Normal"/>
    <w:next w:val="Normal"/>
    <w:autoRedefine/>
    <w:uiPriority w:val="39"/>
    <w:unhideWhenUsed/>
    <w:rsid w:val="00BB4284"/>
    <w:pPr>
      <w:spacing w:after="100"/>
      <w:ind w:left="1320"/>
    </w:pPr>
    <w:rPr>
      <w:rFonts w:eastAsiaTheme="minorEastAsia"/>
      <w:lang w:eastAsia="en-AU"/>
    </w:rPr>
  </w:style>
  <w:style w:type="paragraph" w:styleId="TOC8">
    <w:name w:val="toc 8"/>
    <w:basedOn w:val="Normal"/>
    <w:next w:val="Normal"/>
    <w:autoRedefine/>
    <w:uiPriority w:val="39"/>
    <w:unhideWhenUsed/>
    <w:rsid w:val="00BB4284"/>
    <w:pPr>
      <w:spacing w:after="100"/>
      <w:ind w:left="1540"/>
    </w:pPr>
    <w:rPr>
      <w:rFonts w:eastAsiaTheme="minorEastAsia"/>
      <w:lang w:eastAsia="en-AU"/>
    </w:rPr>
  </w:style>
  <w:style w:type="paragraph" w:styleId="TOC9">
    <w:name w:val="toc 9"/>
    <w:basedOn w:val="Normal"/>
    <w:next w:val="Normal"/>
    <w:autoRedefine/>
    <w:uiPriority w:val="39"/>
    <w:unhideWhenUsed/>
    <w:rsid w:val="00BB4284"/>
    <w:pPr>
      <w:spacing w:after="100"/>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c.gov.au/Parties_and_Representatives/compliance/compliance-reviews.htm" TargetMode="External"/><Relationship Id="rId2" Type="http://schemas.openxmlformats.org/officeDocument/2006/relationships/hyperlink" Target="http://periodicdisclosures.aec.gov.au/Default.aspx" TargetMode="External"/><Relationship Id="rId1" Type="http://schemas.openxmlformats.org/officeDocument/2006/relationships/hyperlink" Target="http://www.aph.gov.au/Parliamentary_Business/Committees/House_of_Representatives_Committees?url=em/taxlawbill%202/report.htm" TargetMode="External"/><Relationship Id="rId5" Type="http://schemas.openxmlformats.org/officeDocument/2006/relationships/hyperlink" Target="http://parlinfo.aph.gov.au/parlInfo/genpdf/chamber/hansards/2002-09-18/0013/hansard_frag.pdf;fileType=application%2Fpdf" TargetMode="External"/><Relationship Id="rId4" Type="http://schemas.openxmlformats.org/officeDocument/2006/relationships/hyperlink" Target="http://www.aec.gov.au/Parties_and_Representatives/compliance/special-investig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6827-342B-485A-BA27-D8830044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17864</Words>
  <Characters>101826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Wickremasinghe</dc:creator>
  <cp:lastModifiedBy>Ryan Bray</cp:lastModifiedBy>
  <cp:revision>3</cp:revision>
  <cp:lastPrinted>2012-11-25T22:47:00Z</cp:lastPrinted>
  <dcterms:created xsi:type="dcterms:W3CDTF">2012-12-03T04:52:00Z</dcterms:created>
  <dcterms:modified xsi:type="dcterms:W3CDTF">2012-12-06T05:01:00Z</dcterms:modified>
</cp:coreProperties>
</file>